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BEC6DF">
      <w:pPr>
        <w:jc w:val="both"/>
        <w:rPr>
          <w:rFonts w:ascii="Times New Roman" w:hAnsi="Times New Roman" w:eastAsia="仿宋_GB2312"/>
          <w:color w:val="000000" w:themeColor="text1"/>
          <w:sz w:val="36"/>
          <w:szCs w:val="36"/>
          <w:highlight w:val="none"/>
          <w14:textFill>
            <w14:solidFill>
              <w14:schemeClr w14:val="tx1"/>
            </w14:solidFill>
          </w14:textFill>
        </w:rPr>
      </w:pPr>
      <w:bookmarkStart w:id="0" w:name="_Hlk57883707"/>
    </w:p>
    <w:p w14:paraId="05FFD6F1">
      <w:pPr>
        <w:rPr>
          <w:rFonts w:ascii="Times New Roman" w:hAnsi="Times New Roman" w:eastAsia="仿宋_GB2312"/>
          <w:color w:val="000000" w:themeColor="text1"/>
          <w:sz w:val="36"/>
          <w:szCs w:val="36"/>
          <w:highlight w:val="none"/>
          <w14:textFill>
            <w14:solidFill>
              <w14:schemeClr w14:val="tx1"/>
            </w14:solidFill>
          </w14:textFill>
        </w:rPr>
      </w:pPr>
    </w:p>
    <w:bookmarkEnd w:id="0"/>
    <w:p w14:paraId="72944D87">
      <w:pPr>
        <w:adjustRightInd w:val="0"/>
        <w:snapToGrid w:val="0"/>
        <w:jc w:val="center"/>
        <w:outlineLvl w:val="0"/>
        <w:rPr>
          <w:rFonts w:ascii="Times New Roman" w:hAnsi="Times New Roman" w:eastAsia="方正小标宋_GBK"/>
          <w:bCs/>
          <w:color w:val="000000" w:themeColor="text1"/>
          <w:sz w:val="72"/>
          <w:szCs w:val="72"/>
          <w:highlight w:val="none"/>
          <w14:textFill>
            <w14:solidFill>
              <w14:schemeClr w14:val="tx1"/>
            </w14:solidFill>
          </w14:textFill>
        </w:rPr>
      </w:pPr>
      <w:r>
        <w:rPr>
          <w:rFonts w:ascii="Times New Roman" w:hAnsi="Times New Roman" w:eastAsia="方正小标宋_GBK"/>
          <w:bCs/>
          <w:color w:val="000000" w:themeColor="text1"/>
          <w:sz w:val="72"/>
          <w:szCs w:val="72"/>
          <w:highlight w:val="none"/>
          <w14:textFill>
            <w14:solidFill>
              <w14:schemeClr w14:val="tx1"/>
            </w14:solidFill>
          </w14:textFill>
        </w:rPr>
        <w:t>建设项目环境影响报告表</w:t>
      </w:r>
    </w:p>
    <w:p w14:paraId="68CA1AC0">
      <w:pPr>
        <w:adjustRightInd w:val="0"/>
        <w:snapToGrid w:val="0"/>
        <w:spacing w:before="249" w:beforeLines="80"/>
        <w:jc w:val="center"/>
        <w:rPr>
          <w:rFonts w:ascii="Times New Roman" w:hAnsi="Times New Roman" w:eastAsia="楷体_GB2312"/>
          <w:bCs/>
          <w:color w:val="000000" w:themeColor="text1"/>
          <w:sz w:val="48"/>
          <w:szCs w:val="48"/>
          <w:highlight w:val="none"/>
          <w14:textFill>
            <w14:solidFill>
              <w14:schemeClr w14:val="tx1"/>
            </w14:solidFill>
          </w14:textFill>
        </w:rPr>
      </w:pPr>
      <w:r>
        <w:rPr>
          <w:rFonts w:hint="eastAsia" w:ascii="Times New Roman" w:hAnsi="Times New Roman" w:eastAsia="楷体_GB2312"/>
          <w:bCs/>
          <w:color w:val="000000" w:themeColor="text1"/>
          <w:sz w:val="48"/>
          <w:szCs w:val="48"/>
          <w:highlight w:val="none"/>
          <w14:textFill>
            <w14:solidFill>
              <w14:schemeClr w14:val="tx1"/>
            </w14:solidFill>
          </w14:textFill>
        </w:rPr>
        <w:t>（污染影响类）</w:t>
      </w:r>
    </w:p>
    <w:p w14:paraId="07E3652E">
      <w:pPr>
        <w:adjustRightInd w:val="0"/>
        <w:snapToGrid w:val="0"/>
        <w:spacing w:before="249" w:beforeLines="80"/>
        <w:jc w:val="center"/>
        <w:rPr>
          <w:rFonts w:ascii="Times New Roman" w:hAnsi="Times New Roman" w:eastAsia="楷体_GB2312"/>
          <w:bCs/>
          <w:color w:val="000000" w:themeColor="text1"/>
          <w:sz w:val="44"/>
          <w:szCs w:val="48"/>
          <w:highlight w:val="none"/>
          <w14:textFill>
            <w14:solidFill>
              <w14:schemeClr w14:val="tx1"/>
            </w14:solidFill>
          </w14:textFill>
        </w:rPr>
      </w:pPr>
      <w:r>
        <w:rPr>
          <w:rFonts w:ascii="Times New Roman" w:hAnsi="Times New Roman" w:eastAsia="楷体_GB2312"/>
          <w:bCs/>
          <w:color w:val="000000" w:themeColor="text1"/>
          <w:sz w:val="44"/>
          <w:szCs w:val="48"/>
          <w:highlight w:val="none"/>
          <w14:textFill>
            <w14:solidFill>
              <w14:schemeClr w14:val="tx1"/>
            </w14:solidFill>
          </w14:textFill>
        </w:rPr>
        <w:t>（</w:t>
      </w:r>
      <w:r>
        <w:rPr>
          <w:rFonts w:hint="eastAsia" w:ascii="Times New Roman" w:hAnsi="Times New Roman" w:eastAsia="楷体_GB2312"/>
          <w:bCs/>
          <w:color w:val="000000" w:themeColor="text1"/>
          <w:sz w:val="44"/>
          <w:szCs w:val="48"/>
          <w:highlight w:val="none"/>
          <w:lang w:eastAsia="zh-CN"/>
          <w14:textFill>
            <w14:solidFill>
              <w14:schemeClr w14:val="tx1"/>
            </w14:solidFill>
          </w14:textFill>
        </w:rPr>
        <w:t>送审</w:t>
      </w:r>
      <w:r>
        <w:rPr>
          <w:rFonts w:hint="eastAsia" w:ascii="Times New Roman" w:hAnsi="Times New Roman" w:eastAsia="楷体_GB2312"/>
          <w:bCs/>
          <w:color w:val="000000" w:themeColor="text1"/>
          <w:sz w:val="44"/>
          <w:szCs w:val="48"/>
          <w:highlight w:val="none"/>
          <w14:textFill>
            <w14:solidFill>
              <w14:schemeClr w14:val="tx1"/>
            </w14:solidFill>
          </w14:textFill>
        </w:rPr>
        <w:t>本</w:t>
      </w:r>
      <w:r>
        <w:rPr>
          <w:rFonts w:ascii="Times New Roman" w:hAnsi="Times New Roman" w:eastAsia="楷体_GB2312"/>
          <w:bCs/>
          <w:color w:val="000000" w:themeColor="text1"/>
          <w:sz w:val="44"/>
          <w:szCs w:val="48"/>
          <w:highlight w:val="none"/>
          <w14:textFill>
            <w14:solidFill>
              <w14:schemeClr w14:val="tx1"/>
            </w14:solidFill>
          </w14:textFill>
        </w:rPr>
        <w:t>）</w:t>
      </w:r>
    </w:p>
    <w:p w14:paraId="576E805E">
      <w:pPr>
        <w:rPr>
          <w:rFonts w:ascii="Times New Roman" w:hAnsi="Times New Roman" w:eastAsia="仿宋_GB2312"/>
          <w:color w:val="000000" w:themeColor="text1"/>
          <w:sz w:val="36"/>
          <w:szCs w:val="36"/>
          <w:highlight w:val="none"/>
          <w14:textFill>
            <w14:solidFill>
              <w14:schemeClr w14:val="tx1"/>
            </w14:solidFill>
          </w14:textFill>
        </w:rPr>
      </w:pPr>
      <w:bookmarkStart w:id="1" w:name="_Hlk57883728"/>
    </w:p>
    <w:p w14:paraId="3026311D">
      <w:pPr>
        <w:jc w:val="center"/>
        <w:rPr>
          <w:rFonts w:ascii="Times New Roman" w:hAnsi="Times New Roman" w:eastAsia="仿宋_GB2312"/>
          <w:color w:val="000000" w:themeColor="text1"/>
          <w:sz w:val="36"/>
          <w:szCs w:val="36"/>
          <w:highlight w:val="none"/>
          <w14:textFill>
            <w14:solidFill>
              <w14:schemeClr w14:val="tx1"/>
            </w14:solidFill>
          </w14:textFill>
        </w:rPr>
      </w:pPr>
    </w:p>
    <w:p w14:paraId="6AC17A7B">
      <w:pPr>
        <w:jc w:val="center"/>
        <w:rPr>
          <w:rFonts w:ascii="Times New Roman" w:hAnsi="Times New Roman" w:eastAsia="仿宋_GB2312"/>
          <w:color w:val="000000" w:themeColor="text1"/>
          <w:sz w:val="36"/>
          <w:szCs w:val="36"/>
          <w:highlight w:val="none"/>
          <w14:textFill>
            <w14:solidFill>
              <w14:schemeClr w14:val="tx1"/>
            </w14:solidFill>
          </w14:textFill>
        </w:rPr>
      </w:pPr>
    </w:p>
    <w:p w14:paraId="5DBD0CBC">
      <w:pPr>
        <w:rPr>
          <w:rFonts w:ascii="Times New Roman" w:hAnsi="Times New Roman" w:eastAsia="仿宋_GB2312"/>
          <w:color w:val="000000" w:themeColor="text1"/>
          <w:sz w:val="36"/>
          <w:szCs w:val="36"/>
          <w:highlight w:val="none"/>
          <w14:textFill>
            <w14:solidFill>
              <w14:schemeClr w14:val="tx1"/>
            </w14:solidFill>
          </w14:textFill>
        </w:rPr>
      </w:pPr>
    </w:p>
    <w:bookmarkEnd w:id="1"/>
    <w:tbl>
      <w:tblPr>
        <w:tblStyle w:val="20"/>
        <w:tblW w:w="8399" w:type="dxa"/>
        <w:jc w:val="center"/>
        <w:tblLayout w:type="autofit"/>
        <w:tblCellMar>
          <w:top w:w="0" w:type="dxa"/>
          <w:left w:w="108" w:type="dxa"/>
          <w:bottom w:w="0" w:type="dxa"/>
          <w:right w:w="108" w:type="dxa"/>
        </w:tblCellMar>
      </w:tblPr>
      <w:tblGrid>
        <w:gridCol w:w="1981"/>
        <w:gridCol w:w="1598"/>
        <w:gridCol w:w="4820"/>
      </w:tblGrid>
      <w:tr w14:paraId="3B28BC46">
        <w:tblPrEx>
          <w:tblCellMar>
            <w:top w:w="0" w:type="dxa"/>
            <w:left w:w="108" w:type="dxa"/>
            <w:bottom w:w="0" w:type="dxa"/>
            <w:right w:w="108" w:type="dxa"/>
          </w:tblCellMar>
        </w:tblPrEx>
        <w:trPr>
          <w:trHeight w:val="567" w:hRule="atLeast"/>
          <w:jc w:val="center"/>
        </w:trPr>
        <w:tc>
          <w:tcPr>
            <w:tcW w:w="1981" w:type="dxa"/>
            <w:shd w:val="clear" w:color="auto" w:fill="auto"/>
            <w:vAlign w:val="bottom"/>
          </w:tcPr>
          <w:p w14:paraId="05BF8EF8">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ascii="Times New Roman" w:hAnsi="Times New Roman" w:eastAsia="宋体"/>
                <w:b/>
                <w:bCs/>
                <w:color w:val="000000" w:themeColor="text1"/>
                <w:sz w:val="20"/>
                <w:szCs w:val="20"/>
                <w:highlight w:val="none"/>
                <w14:textFill>
                  <w14:solidFill>
                    <w14:schemeClr w14:val="tx1"/>
                  </w14:solidFill>
                </w14:textFill>
              </w:rPr>
            </w:pPr>
            <w:r>
              <w:rPr>
                <w:rFonts w:ascii="Times New Roman" w:hAnsi="Times New Roman" w:eastAsia="仿宋_GB2312"/>
                <w:b/>
                <w:bCs/>
                <w:color w:val="000000" w:themeColor="text1"/>
                <w:sz w:val="32"/>
                <w:szCs w:val="32"/>
                <w:highlight w:val="none"/>
                <w14:textFill>
                  <w14:solidFill>
                    <w14:schemeClr w14:val="tx1"/>
                  </w14:solidFill>
                </w14:textFill>
              </w:rPr>
              <w:t>项目名称：</w:t>
            </w:r>
          </w:p>
        </w:tc>
        <w:tc>
          <w:tcPr>
            <w:tcW w:w="6418" w:type="dxa"/>
            <w:gridSpan w:val="2"/>
            <w:tcBorders>
              <w:bottom w:val="single" w:color="auto" w:sz="4" w:space="0"/>
            </w:tcBorders>
            <w:shd w:val="clear" w:color="auto" w:fill="auto"/>
            <w:vAlign w:val="bottom"/>
          </w:tcPr>
          <w:p w14:paraId="5BD8A7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hint="eastAsia" w:ascii="Times New Roman" w:hAnsi="Times New Roman" w:eastAsia="仿宋_GB2312"/>
                <w:b/>
                <w:bCs/>
                <w:color w:val="000000" w:themeColor="text1"/>
                <w:sz w:val="32"/>
                <w:szCs w:val="32"/>
                <w:highlight w:val="none"/>
                <w14:textFill>
                  <w14:solidFill>
                    <w14:schemeClr w14:val="tx1"/>
                  </w14:solidFill>
                </w14:textFill>
              </w:rPr>
              <w:t>南充至成都高速公路扩容工程LJ5标段3#站</w:t>
            </w:r>
          </w:p>
        </w:tc>
      </w:tr>
      <w:tr w14:paraId="7C8369A8">
        <w:tblPrEx>
          <w:tblCellMar>
            <w:top w:w="0" w:type="dxa"/>
            <w:left w:w="108" w:type="dxa"/>
            <w:bottom w:w="0" w:type="dxa"/>
            <w:right w:w="108" w:type="dxa"/>
          </w:tblCellMar>
        </w:tblPrEx>
        <w:trPr>
          <w:trHeight w:val="567" w:hRule="atLeast"/>
          <w:jc w:val="center"/>
        </w:trPr>
        <w:tc>
          <w:tcPr>
            <w:tcW w:w="3579" w:type="dxa"/>
            <w:gridSpan w:val="2"/>
            <w:shd w:val="clear" w:color="auto" w:fill="auto"/>
            <w:vAlign w:val="bottom"/>
          </w:tcPr>
          <w:p w14:paraId="1F2550BB">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ascii="Times New Roman" w:hAnsi="Times New Roman" w:eastAsia="仿宋_GB2312"/>
                <w:b/>
                <w:bCs/>
                <w:color w:val="000000" w:themeColor="text1"/>
                <w:sz w:val="32"/>
                <w:szCs w:val="32"/>
                <w:highlight w:val="none"/>
                <w14:textFill>
                  <w14:solidFill>
                    <w14:schemeClr w14:val="tx1"/>
                  </w14:solidFill>
                </w14:textFill>
              </w:rPr>
              <w:t>建设单位（盖章）：</w:t>
            </w:r>
          </w:p>
        </w:tc>
        <w:tc>
          <w:tcPr>
            <w:tcW w:w="4820" w:type="dxa"/>
            <w:tcBorders>
              <w:bottom w:val="single" w:color="auto" w:sz="4" w:space="0"/>
            </w:tcBorders>
            <w:shd w:val="clear" w:color="auto" w:fill="auto"/>
            <w:vAlign w:val="bottom"/>
          </w:tcPr>
          <w:p w14:paraId="3D5E46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 w:val="20"/>
                <w:szCs w:val="18"/>
                <w:highlight w:val="none"/>
                <w:lang w:eastAsia="zh-CN"/>
                <w14:textFill>
                  <w14:solidFill>
                    <w14:schemeClr w14:val="tx1"/>
                  </w14:solidFill>
                </w14:textFill>
              </w:rPr>
            </w:pPr>
            <w:r>
              <w:rPr>
                <w:rFonts w:hint="eastAsia" w:ascii="Times New Roman" w:hAnsi="Times New Roman" w:eastAsia="仿宋_GB2312"/>
                <w:b/>
                <w:bCs/>
                <w:color w:val="000000" w:themeColor="text1"/>
                <w:sz w:val="32"/>
                <w:szCs w:val="32"/>
                <w:highlight w:val="none"/>
                <w:lang w:eastAsia="zh-CN"/>
                <w14:textFill>
                  <w14:solidFill>
                    <w14:schemeClr w14:val="tx1"/>
                  </w14:solidFill>
                </w14:textFill>
              </w:rPr>
              <w:t>中交第三航务工程局有限公司</w:t>
            </w:r>
          </w:p>
        </w:tc>
      </w:tr>
      <w:tr w14:paraId="75BDCC92">
        <w:tblPrEx>
          <w:tblCellMar>
            <w:top w:w="0" w:type="dxa"/>
            <w:left w:w="108" w:type="dxa"/>
            <w:bottom w:w="0" w:type="dxa"/>
            <w:right w:w="108" w:type="dxa"/>
          </w:tblCellMar>
        </w:tblPrEx>
        <w:trPr>
          <w:trHeight w:val="567" w:hRule="atLeast"/>
          <w:jc w:val="center"/>
        </w:trPr>
        <w:tc>
          <w:tcPr>
            <w:tcW w:w="1981" w:type="dxa"/>
            <w:shd w:val="clear" w:color="auto" w:fill="auto"/>
            <w:vAlign w:val="bottom"/>
          </w:tcPr>
          <w:p w14:paraId="332709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ascii="Times New Roman" w:hAnsi="Times New Roman" w:eastAsia="仿宋_GB2312"/>
                <w:b/>
                <w:bCs/>
                <w:color w:val="000000" w:themeColor="text1"/>
                <w:sz w:val="32"/>
                <w:szCs w:val="32"/>
                <w:highlight w:val="none"/>
                <w14:textFill>
                  <w14:solidFill>
                    <w14:schemeClr w14:val="tx1"/>
                  </w14:solidFill>
                </w14:textFill>
              </w:rPr>
              <w:t>编制日期：</w:t>
            </w:r>
          </w:p>
        </w:tc>
        <w:tc>
          <w:tcPr>
            <w:tcW w:w="6418" w:type="dxa"/>
            <w:gridSpan w:val="2"/>
            <w:tcBorders>
              <w:bottom w:val="single" w:color="auto" w:sz="4" w:space="0"/>
            </w:tcBorders>
            <w:shd w:val="clear" w:color="auto" w:fill="auto"/>
            <w:vAlign w:val="bottom"/>
          </w:tcPr>
          <w:p w14:paraId="5BB8C4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 w:val="20"/>
                <w:szCs w:val="18"/>
                <w:highlight w:val="none"/>
                <w14:textFill>
                  <w14:solidFill>
                    <w14:schemeClr w14:val="tx1"/>
                  </w14:solidFill>
                </w14:textFill>
              </w:rPr>
            </w:pPr>
            <w:r>
              <w:rPr>
                <w:rFonts w:hint="eastAsia" w:ascii="Times New Roman" w:hAnsi="Times New Roman" w:eastAsia="仿宋_GB2312"/>
                <w:b/>
                <w:bCs/>
                <w:color w:val="000000" w:themeColor="text1"/>
                <w:sz w:val="32"/>
                <w:szCs w:val="32"/>
                <w:highlight w:val="none"/>
                <w14:textFill>
                  <w14:solidFill>
                    <w14:schemeClr w14:val="tx1"/>
                  </w14:solidFill>
                </w14:textFill>
              </w:rPr>
              <w:t>二〇二二年</w:t>
            </w:r>
            <w:r>
              <w:rPr>
                <w:rFonts w:hint="eastAsia" w:ascii="Times New Roman" w:hAnsi="Times New Roman" w:eastAsia="仿宋_GB2312"/>
                <w:b/>
                <w:bCs/>
                <w:color w:val="000000" w:themeColor="text1"/>
                <w:sz w:val="32"/>
                <w:szCs w:val="32"/>
                <w:highlight w:val="none"/>
                <w:lang w:eastAsia="zh-CN"/>
                <w14:textFill>
                  <w14:solidFill>
                    <w14:schemeClr w14:val="tx1"/>
                  </w14:solidFill>
                </w14:textFill>
              </w:rPr>
              <w:t>九</w:t>
            </w:r>
            <w:r>
              <w:rPr>
                <w:rFonts w:hint="eastAsia" w:ascii="Times New Roman" w:hAnsi="Times New Roman" w:eastAsia="仿宋_GB2312"/>
                <w:b/>
                <w:bCs/>
                <w:color w:val="000000" w:themeColor="text1"/>
                <w:sz w:val="32"/>
                <w:szCs w:val="32"/>
                <w:highlight w:val="none"/>
                <w14:textFill>
                  <w14:solidFill>
                    <w14:schemeClr w14:val="tx1"/>
                  </w14:solidFill>
                </w14:textFill>
              </w:rPr>
              <w:t>月</w:t>
            </w:r>
          </w:p>
        </w:tc>
      </w:tr>
    </w:tbl>
    <w:p w14:paraId="4596DCE7">
      <w:pPr>
        <w:rPr>
          <w:rFonts w:ascii="Times New Roman" w:hAnsi="Times New Roman" w:eastAsia="仿宋_GB2312"/>
          <w:color w:val="000000" w:themeColor="text1"/>
          <w:sz w:val="36"/>
          <w:szCs w:val="36"/>
          <w:highlight w:val="none"/>
          <w14:textFill>
            <w14:solidFill>
              <w14:schemeClr w14:val="tx1"/>
            </w14:solidFill>
          </w14:textFill>
        </w:rPr>
      </w:pPr>
    </w:p>
    <w:p w14:paraId="3457DCE1">
      <w:pPr>
        <w:rPr>
          <w:rFonts w:ascii="Times New Roman" w:hAnsi="Times New Roman" w:eastAsia="仿宋_GB2312"/>
          <w:color w:val="000000" w:themeColor="text1"/>
          <w:sz w:val="36"/>
          <w:szCs w:val="36"/>
          <w:highlight w:val="none"/>
          <w14:textFill>
            <w14:solidFill>
              <w14:schemeClr w14:val="tx1"/>
            </w14:solidFill>
          </w14:textFill>
        </w:rPr>
      </w:pPr>
    </w:p>
    <w:p w14:paraId="58C1B4A0">
      <w:pPr>
        <w:jc w:val="center"/>
        <w:rPr>
          <w:rFonts w:ascii="Times New Roman" w:hAnsi="Times New Roman" w:eastAsia="仿宋_GB2312"/>
          <w:color w:val="000000" w:themeColor="text1"/>
          <w:sz w:val="36"/>
          <w:szCs w:val="36"/>
          <w:highlight w:val="none"/>
          <w14:textFill>
            <w14:solidFill>
              <w14:schemeClr w14:val="tx1"/>
            </w14:solidFill>
          </w14:textFill>
        </w:rPr>
      </w:pPr>
    </w:p>
    <w:p w14:paraId="179B7030">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77C5A697">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46729A45">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07081311">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p>
    <w:p w14:paraId="57A6A6BE">
      <w:pPr>
        <w:adjustRightInd w:val="0"/>
        <w:snapToGrid w:val="0"/>
        <w:spacing w:line="288" w:lineRule="auto"/>
        <w:jc w:val="center"/>
        <w:rPr>
          <w:rFonts w:ascii="Times New Roman" w:hAnsi="Times New Roman" w:eastAsia="楷体_GB2312"/>
          <w:color w:val="000000" w:themeColor="text1"/>
          <w:sz w:val="36"/>
          <w:szCs w:val="36"/>
          <w:highlight w:val="none"/>
          <w14:textFill>
            <w14:solidFill>
              <w14:schemeClr w14:val="tx1"/>
            </w14:solidFill>
          </w14:textFill>
        </w:rPr>
      </w:pPr>
      <w:r>
        <w:rPr>
          <w:rFonts w:ascii="Times New Roman" w:hAnsi="Times New Roman" w:eastAsia="楷体_GB2312"/>
          <w:color w:val="000000" w:themeColor="text1"/>
          <w:sz w:val="36"/>
          <w:szCs w:val="36"/>
          <w:highlight w:val="none"/>
          <w14:textFill>
            <w14:solidFill>
              <w14:schemeClr w14:val="tx1"/>
            </w14:solidFill>
          </w14:textFill>
        </w:rPr>
        <w:t>中华人民共和国生态环境部制</w:t>
      </w:r>
    </w:p>
    <w:p w14:paraId="0CD21817">
      <w:pPr>
        <w:adjustRightInd w:val="0"/>
        <w:snapToGrid w:val="0"/>
        <w:spacing w:line="288" w:lineRule="auto"/>
        <w:jc w:val="center"/>
        <w:rPr>
          <w:rFonts w:ascii="宋体" w:hAnsi="宋体" w:eastAsia="宋体"/>
          <w:b/>
          <w:color w:val="000000" w:themeColor="text1"/>
          <w:highlight w:val="none"/>
          <w14:textFill>
            <w14:solidFill>
              <w14:schemeClr w14:val="tx1"/>
            </w14:solidFill>
          </w14:textFill>
        </w:rPr>
      </w:pPr>
      <w:r>
        <w:rPr>
          <w:rFonts w:ascii="Times New Roman" w:hAnsi="Times New Roman" w:eastAsia="仿宋_GB2312"/>
          <w:color w:val="000000" w:themeColor="text1"/>
          <w:sz w:val="36"/>
          <w:szCs w:val="36"/>
          <w:highlight w:val="none"/>
          <w14:textFill>
            <w14:solidFill>
              <w14:schemeClr w14:val="tx1"/>
            </w14:solidFill>
          </w14:textFill>
        </w:rPr>
        <w:br w:type="page"/>
      </w:r>
      <w:r>
        <w:rPr>
          <w:rFonts w:ascii="宋体" w:hAnsi="宋体" w:eastAsia="宋体"/>
          <w:b/>
          <w:color w:val="000000" w:themeColor="text1"/>
          <w:sz w:val="28"/>
          <w:szCs w:val="21"/>
          <w:highlight w:val="none"/>
          <w14:textFill>
            <w14:solidFill>
              <w14:schemeClr w14:val="tx1"/>
            </w14:solidFill>
          </w14:textFill>
        </w:rPr>
        <w:t>目  录</w:t>
      </w:r>
      <w:r>
        <w:rPr>
          <w:rFonts w:ascii="宋体" w:hAnsi="宋体" w:eastAsia="宋体"/>
          <w:color w:val="000000" w:themeColor="text1"/>
          <w:szCs w:val="21"/>
          <w:highlight w:val="none"/>
          <w14:textFill>
            <w14:solidFill>
              <w14:schemeClr w14:val="tx1"/>
            </w14:solidFill>
          </w14:textFill>
        </w:rPr>
        <w:fldChar w:fldCharType="begin"/>
      </w:r>
      <w:r>
        <w:rPr>
          <w:rFonts w:ascii="宋体" w:hAnsi="宋体" w:eastAsia="宋体"/>
          <w:color w:val="000000" w:themeColor="text1"/>
          <w:szCs w:val="21"/>
          <w:highlight w:val="none"/>
          <w14:textFill>
            <w14:solidFill>
              <w14:schemeClr w14:val="tx1"/>
            </w14:solidFill>
          </w14:textFill>
        </w:rPr>
        <w:instrText xml:space="preserve"> TOC \o "1-1" \h \z \u </w:instrText>
      </w:r>
      <w:r>
        <w:rPr>
          <w:rFonts w:ascii="宋体" w:hAnsi="宋体" w:eastAsia="宋体"/>
          <w:color w:val="000000" w:themeColor="text1"/>
          <w:szCs w:val="21"/>
          <w:highlight w:val="none"/>
          <w14:textFill>
            <w14:solidFill>
              <w14:schemeClr w14:val="tx1"/>
            </w14:solidFill>
          </w14:textFill>
        </w:rPr>
        <w:fldChar w:fldCharType="separate"/>
      </w:r>
    </w:p>
    <w:p w14:paraId="1B5C0573">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"_Toc80643341"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一、建设项目基本情况</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_Toc80643341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1</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1ECBC519">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"_Toc80643342"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二、建设</w:t>
      </w:r>
      <w:r>
        <w:rPr>
          <w:rFonts w:hint="eastAsia" w:ascii="Times New Roman" w:hAnsi="Times New Roman" w:eastAsia="宋体"/>
          <w:color w:val="000000" w:themeColor="text1"/>
          <w:sz w:val="24"/>
          <w:szCs w:val="24"/>
          <w:highlight w:val="none"/>
          <w14:textFill>
            <w14:solidFill>
              <w14:schemeClr w14:val="tx1"/>
            </w14:solidFill>
          </w14:textFill>
        </w:rPr>
        <w:t>项目工程分析</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_Toc80643342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27</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58A7F9A2">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"_Toc80643343"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三、</w:t>
      </w:r>
      <w:r>
        <w:rPr>
          <w:rFonts w:hint="eastAsia" w:ascii="Times New Roman" w:hAnsi="Times New Roman" w:eastAsia="宋体"/>
          <w:color w:val="000000" w:themeColor="text1"/>
          <w:sz w:val="24"/>
          <w:szCs w:val="24"/>
          <w:highlight w:val="none"/>
          <w14:textFill>
            <w14:solidFill>
              <w14:schemeClr w14:val="tx1"/>
            </w14:solidFill>
          </w14:textFill>
        </w:rPr>
        <w:t>区域环境质量</w:t>
      </w:r>
      <w:r>
        <w:rPr>
          <w:rFonts w:ascii="Times New Roman" w:hAnsi="Times New Roman" w:eastAsia="宋体"/>
          <w:color w:val="000000" w:themeColor="text1"/>
          <w:sz w:val="24"/>
          <w:szCs w:val="24"/>
          <w:highlight w:val="none"/>
          <w14:textFill>
            <w14:solidFill>
              <w14:schemeClr w14:val="tx1"/>
            </w14:solidFill>
          </w14:textFill>
        </w:rPr>
        <w:t>现状、</w:t>
      </w:r>
      <w:r>
        <w:rPr>
          <w:rFonts w:hint="eastAsia" w:ascii="Times New Roman" w:hAnsi="Times New Roman" w:eastAsia="宋体"/>
          <w:color w:val="000000" w:themeColor="text1"/>
          <w:sz w:val="24"/>
          <w:szCs w:val="24"/>
          <w:highlight w:val="none"/>
          <w14:textFill>
            <w14:solidFill>
              <w14:schemeClr w14:val="tx1"/>
            </w14:solidFill>
          </w14:textFill>
        </w:rPr>
        <w:t>环境</w:t>
      </w:r>
      <w:r>
        <w:rPr>
          <w:rFonts w:ascii="Times New Roman" w:hAnsi="Times New Roman" w:eastAsia="宋体"/>
          <w:color w:val="000000" w:themeColor="text1"/>
          <w:sz w:val="24"/>
          <w:szCs w:val="24"/>
          <w:highlight w:val="none"/>
          <w14:textFill>
            <w14:solidFill>
              <w14:schemeClr w14:val="tx1"/>
            </w14:solidFill>
          </w14:textFill>
        </w:rPr>
        <w:t>保护目标及评价标准</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_Toc80643343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55</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2C1CA8A2">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"_Toc80643344"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四、</w:t>
      </w:r>
      <w:r>
        <w:rPr>
          <w:rFonts w:hint="eastAsia" w:ascii="Times New Roman" w:hAnsi="Times New Roman" w:eastAsia="宋体"/>
          <w:color w:val="000000" w:themeColor="text1"/>
          <w:sz w:val="24"/>
          <w:szCs w:val="24"/>
          <w:highlight w:val="none"/>
          <w14:textFill>
            <w14:solidFill>
              <w14:schemeClr w14:val="tx1"/>
            </w14:solidFill>
          </w14:textFill>
        </w:rPr>
        <w:t>主要环境影响和保护措施</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_Toc80643344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63</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48118917">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"_Toc80643345" </w:instrText>
      </w:r>
      <w:r>
        <w:rPr>
          <w:color w:val="000000" w:themeColor="text1"/>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五、</w:t>
      </w:r>
      <w:r>
        <w:rPr>
          <w:rFonts w:hint="eastAsia" w:ascii="Times New Roman" w:hAnsi="Times New Roman" w:eastAsia="宋体"/>
          <w:color w:val="000000" w:themeColor="text1"/>
          <w:sz w:val="24"/>
          <w:szCs w:val="24"/>
          <w:highlight w:val="none"/>
          <w14:textFill>
            <w14:solidFill>
              <w14:schemeClr w14:val="tx1"/>
            </w14:solidFill>
          </w14:textFill>
        </w:rPr>
        <w:t>环境保护措施监督检查清单</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_Toc80643345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103</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037E52D1">
      <w:pPr>
        <w:tabs>
          <w:tab w:val="right" w:leader="dot" w:pos="8834"/>
        </w:tabs>
        <w:spacing w:line="500" w:lineRule="exact"/>
        <w:jc w:val="center"/>
        <w:rPr>
          <w:rFonts w:ascii="Times New Roman" w:hAnsi="Times New Roman" w:eastAsia="宋体"/>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"_Toc80643347" </w:instrText>
      </w:r>
      <w:r>
        <w:rPr>
          <w:color w:val="000000" w:themeColor="text1"/>
          <w:highlight w:val="none"/>
          <w14:textFill>
            <w14:solidFill>
              <w14:schemeClr w14:val="tx1"/>
            </w14:solidFill>
          </w14:textFill>
        </w:rPr>
        <w:fldChar w:fldCharType="separate"/>
      </w:r>
      <w:r>
        <w:rPr>
          <w:rFonts w:hint="eastAsia" w:ascii="Times New Roman" w:hAnsi="Times New Roman" w:eastAsia="宋体"/>
          <w:color w:val="000000" w:themeColor="text1"/>
          <w:sz w:val="24"/>
          <w:szCs w:val="24"/>
          <w:highlight w:val="none"/>
          <w14:textFill>
            <w14:solidFill>
              <w14:schemeClr w14:val="tx1"/>
            </w14:solidFill>
          </w14:textFill>
        </w:rPr>
        <w:t>六</w:t>
      </w:r>
      <w:r>
        <w:rPr>
          <w:rFonts w:ascii="Times New Roman" w:hAnsi="Times New Roman" w:eastAsia="宋体"/>
          <w:color w:val="000000" w:themeColor="text1"/>
          <w:sz w:val="24"/>
          <w:szCs w:val="24"/>
          <w:highlight w:val="none"/>
          <w14:textFill>
            <w14:solidFill>
              <w14:schemeClr w14:val="tx1"/>
            </w14:solidFill>
          </w14:textFill>
        </w:rPr>
        <w:t>、结论</w:t>
      </w:r>
      <w:r>
        <w:rPr>
          <w:rFonts w:ascii="Times New Roman" w:hAnsi="Times New Roman" w:eastAsia="宋体"/>
          <w:color w:val="000000" w:themeColor="text1"/>
          <w:sz w:val="24"/>
          <w:szCs w:val="24"/>
          <w:highlight w:val="none"/>
          <w14:textFill>
            <w14:solidFill>
              <w14:schemeClr w14:val="tx1"/>
            </w14:solidFill>
          </w14:textFill>
        </w:rPr>
        <w:tab/>
      </w:r>
      <w:r>
        <w:rPr>
          <w:rFonts w:ascii="Times New Roman" w:hAnsi="Times New Roman" w:eastAsia="宋体"/>
          <w:color w:val="000000" w:themeColor="text1"/>
          <w:sz w:val="24"/>
          <w:szCs w:val="24"/>
          <w:highlight w:val="none"/>
          <w14:textFill>
            <w14:solidFill>
              <w14:schemeClr w14:val="tx1"/>
            </w14:solidFill>
          </w14:textFill>
        </w:rPr>
        <w:fldChar w:fldCharType="begin"/>
      </w:r>
      <w:r>
        <w:rPr>
          <w:rFonts w:ascii="Times New Roman" w:hAnsi="Times New Roman" w:eastAsia="宋体"/>
          <w:color w:val="000000" w:themeColor="text1"/>
          <w:sz w:val="24"/>
          <w:szCs w:val="24"/>
          <w:highlight w:val="none"/>
          <w14:textFill>
            <w14:solidFill>
              <w14:schemeClr w14:val="tx1"/>
            </w14:solidFill>
          </w14:textFill>
        </w:rPr>
        <w:instrText xml:space="preserve"> PAGEREF _Toc80643347 \h </w:instrText>
      </w:r>
      <w:r>
        <w:rPr>
          <w:rFonts w:ascii="Times New Roman" w:hAnsi="Times New Roman" w:eastAsia="宋体"/>
          <w:color w:val="000000" w:themeColor="text1"/>
          <w:sz w:val="24"/>
          <w:szCs w:val="24"/>
          <w:highlight w:val="none"/>
          <w14:textFill>
            <w14:solidFill>
              <w14:schemeClr w14:val="tx1"/>
            </w14:solidFill>
          </w14:textFill>
        </w:rPr>
        <w:fldChar w:fldCharType="separate"/>
      </w:r>
      <w:r>
        <w:rPr>
          <w:rFonts w:ascii="Times New Roman" w:hAnsi="Times New Roman" w:eastAsia="宋体"/>
          <w:color w:val="000000" w:themeColor="text1"/>
          <w:sz w:val="24"/>
          <w:szCs w:val="24"/>
          <w:highlight w:val="none"/>
          <w14:textFill>
            <w14:solidFill>
              <w14:schemeClr w14:val="tx1"/>
            </w14:solidFill>
          </w14:textFill>
        </w:rPr>
        <w:t>108</w:t>
      </w:r>
      <w:r>
        <w:rPr>
          <w:rFonts w:ascii="Times New Roman" w:hAnsi="Times New Roman" w:eastAsia="宋体"/>
          <w:color w:val="000000" w:themeColor="text1"/>
          <w:sz w:val="24"/>
          <w:szCs w:val="24"/>
          <w:highlight w:val="none"/>
          <w14:textFill>
            <w14:solidFill>
              <w14:schemeClr w14:val="tx1"/>
            </w14:solidFill>
          </w14:textFill>
        </w:rPr>
        <w:fldChar w:fldCharType="end"/>
      </w:r>
      <w:r>
        <w:rPr>
          <w:rFonts w:ascii="Times New Roman" w:hAnsi="Times New Roman" w:eastAsia="宋体"/>
          <w:color w:val="000000" w:themeColor="text1"/>
          <w:sz w:val="24"/>
          <w:szCs w:val="24"/>
          <w:highlight w:val="none"/>
          <w14:textFill>
            <w14:solidFill>
              <w14:schemeClr w14:val="tx1"/>
            </w14:solidFill>
          </w14:textFill>
        </w:rPr>
        <w:fldChar w:fldCharType="end"/>
      </w:r>
    </w:p>
    <w:p w14:paraId="28FA9C34">
      <w:pPr>
        <w:tabs>
          <w:tab w:val="right" w:leader="dot" w:pos="8834"/>
        </w:tabs>
        <w:spacing w:line="500" w:lineRule="exact"/>
        <w:jc w:val="left"/>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fldChar w:fldCharType="end"/>
      </w:r>
    </w:p>
    <w:p w14:paraId="5D6B9D93">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附图：</w:t>
      </w:r>
    </w:p>
    <w:p w14:paraId="282388C6">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附图1 项目地理位置图</w:t>
      </w:r>
    </w:p>
    <w:p w14:paraId="5001FC31">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附图2.1 蓬溪县火车站工业聚居区土地利用规划图</w:t>
      </w:r>
    </w:p>
    <w:p w14:paraId="7DFA082E">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附图2.2 蓬溪县火车站工业聚居区近期污水工程规划图</w:t>
      </w:r>
    </w:p>
    <w:p w14:paraId="7771E106">
      <w:pPr>
        <w:tabs>
          <w:tab w:val="right" w:leader="dot" w:pos="8834"/>
        </w:tabs>
        <w:spacing w:line="500" w:lineRule="exact"/>
        <w:jc w:val="left"/>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 xml:space="preserve">2.3 </w:t>
      </w:r>
      <w:r>
        <w:rPr>
          <w:rFonts w:hint="eastAsia" w:ascii="Times New Roman" w:hAnsi="Times New Roman" w:eastAsia="宋体"/>
          <w:color w:val="000000" w:themeColor="text1"/>
          <w:sz w:val="24"/>
          <w:szCs w:val="24"/>
          <w:highlight w:val="none"/>
          <w:lang w:eastAsia="zh-CN"/>
          <w14:textFill>
            <w14:solidFill>
              <w14:schemeClr w14:val="tx1"/>
            </w14:solidFill>
          </w14:textFill>
        </w:rPr>
        <w:t>《火车站片区高速出入口附近拟出地块规划图》（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2014-39#</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18FD321D">
      <w:pPr>
        <w:tabs>
          <w:tab w:val="right" w:leader="dot" w:pos="8834"/>
        </w:tabs>
        <w:spacing w:line="500" w:lineRule="exact"/>
        <w:jc w:val="left"/>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 xml:space="preserve">附件2.4 </w:t>
      </w:r>
      <w:r>
        <w:rPr>
          <w:rFonts w:hint="eastAsia" w:ascii="Times New Roman" w:hAnsi="Times New Roman" w:eastAsia="宋体"/>
          <w:color w:val="000000" w:themeColor="text1"/>
          <w:sz w:val="24"/>
          <w:szCs w:val="24"/>
          <w:highlight w:val="none"/>
          <w:lang w:eastAsia="zh-CN"/>
          <w14:textFill>
            <w14:solidFill>
              <w14:schemeClr w14:val="tx1"/>
            </w14:solidFill>
          </w14:textFill>
        </w:rPr>
        <w:t>《火车站片区高速出入口附近拟出地块规划图》（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2014-40#</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7D4ECEF4">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附图3 项目厂界外500m范围内敏感保护目标分布图</w:t>
      </w:r>
    </w:p>
    <w:p w14:paraId="2B631BDC">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附图4.1 项目总平面布置图</w:t>
      </w:r>
    </w:p>
    <w:p w14:paraId="73441E24">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附图4.2 项目分区防渗图</w:t>
      </w:r>
    </w:p>
    <w:p w14:paraId="22BEC5B6">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附图5.1 遂宁市生态保护红线图</w:t>
      </w:r>
    </w:p>
    <w:p w14:paraId="756FCDC4">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附图5.2 遂宁市环境管控单元图</w:t>
      </w:r>
    </w:p>
    <w:p w14:paraId="53E8D106">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p>
    <w:p w14:paraId="6A78DE79">
      <w:pPr>
        <w:tabs>
          <w:tab w:val="right" w:leader="dot" w:pos="8834"/>
        </w:tabs>
        <w:spacing w:line="500" w:lineRule="exact"/>
        <w:jc w:val="left"/>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8A8C0BF">
      <w:pPr>
        <w:tabs>
          <w:tab w:val="right" w:leader="dot" w:pos="8834"/>
        </w:tabs>
        <w:spacing w:line="500" w:lineRule="exact"/>
        <w:jc w:val="left"/>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附件：</w:t>
      </w:r>
    </w:p>
    <w:p w14:paraId="2D11C836">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 xml:space="preserve">附件1 </w:t>
      </w:r>
      <w:r>
        <w:rPr>
          <w:rFonts w:hint="eastAsia" w:ascii="Times New Roman" w:hAnsi="Times New Roman" w:eastAsia="宋体"/>
          <w:color w:val="000000" w:themeColor="text1"/>
          <w:sz w:val="24"/>
          <w:szCs w:val="24"/>
          <w:highlight w:val="none"/>
          <w14:textFill>
            <w14:solidFill>
              <w14:schemeClr w14:val="tx1"/>
            </w14:solidFill>
          </w14:textFill>
        </w:rPr>
        <w:t>环评</w:t>
      </w:r>
      <w:r>
        <w:rPr>
          <w:rFonts w:ascii="Times New Roman" w:hAnsi="Times New Roman" w:eastAsia="宋体"/>
          <w:color w:val="000000" w:themeColor="text1"/>
          <w:sz w:val="24"/>
          <w:szCs w:val="24"/>
          <w:highlight w:val="none"/>
          <w14:textFill>
            <w14:solidFill>
              <w14:schemeClr w14:val="tx1"/>
            </w14:solidFill>
          </w14:textFill>
        </w:rPr>
        <w:t>委托书</w:t>
      </w:r>
    </w:p>
    <w:p w14:paraId="589DEDA8">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 xml:space="preserve">附件2 </w:t>
      </w:r>
      <w:r>
        <w:rPr>
          <w:rFonts w:hint="eastAsia" w:ascii="Times New Roman" w:hAnsi="Times New Roman" w:eastAsia="宋体"/>
          <w:color w:val="000000" w:themeColor="text1"/>
          <w:sz w:val="24"/>
          <w:szCs w:val="24"/>
          <w:highlight w:val="none"/>
          <w:lang w:eastAsia="zh-CN"/>
          <w14:textFill>
            <w14:solidFill>
              <w14:schemeClr w14:val="tx1"/>
            </w14:solidFill>
          </w14:textFill>
        </w:rPr>
        <w:t>备案文件</w:t>
      </w:r>
    </w:p>
    <w:p w14:paraId="2621C05B">
      <w:pPr>
        <w:tabs>
          <w:tab w:val="right" w:leader="dot" w:pos="8834"/>
        </w:tabs>
        <w:spacing w:line="500" w:lineRule="exact"/>
        <w:jc w:val="left"/>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附件3</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 xml:space="preserve"> 营业执照</w:t>
      </w:r>
    </w:p>
    <w:p w14:paraId="076E2F0E">
      <w:pPr>
        <w:tabs>
          <w:tab w:val="right" w:leader="dot" w:pos="8834"/>
        </w:tabs>
        <w:spacing w:line="500" w:lineRule="exact"/>
        <w:jc w:val="left"/>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w:t>
      </w:r>
      <w:r>
        <w:rPr>
          <w:rFonts w:ascii="Times New Roman" w:hAnsi="Times New Roman" w:eastAsia="宋体"/>
          <w:color w:val="000000" w:themeColor="text1"/>
          <w:sz w:val="24"/>
          <w:szCs w:val="24"/>
          <w:highlight w:val="none"/>
          <w14:textFill>
            <w14:solidFill>
              <w14:schemeClr w14:val="tx1"/>
            </w14:solidFill>
          </w14:textFill>
        </w:rPr>
        <w:t xml:space="preserve"> </w:t>
      </w:r>
      <w:r>
        <w:rPr>
          <w:rFonts w:hint="eastAsia" w:ascii="Times New Roman" w:hAnsi="Times New Roman" w:eastAsia="宋体"/>
          <w:color w:val="000000" w:themeColor="text1"/>
          <w:sz w:val="24"/>
          <w:szCs w:val="24"/>
          <w:highlight w:val="none"/>
          <w:lang w:eastAsia="zh-CN"/>
          <w14:textFill>
            <w14:solidFill>
              <w14:schemeClr w14:val="tx1"/>
            </w14:solidFill>
          </w14:textFill>
        </w:rPr>
        <w:t>大气环境质量现状引用监测报告</w:t>
      </w:r>
    </w:p>
    <w:p w14:paraId="150716F9">
      <w:pPr>
        <w:tabs>
          <w:tab w:val="right" w:leader="dot" w:pos="8834"/>
        </w:tabs>
        <w:spacing w:line="500" w:lineRule="exact"/>
        <w:jc w:val="left"/>
        <w:rPr>
          <w:rFonts w:hint="eastAsia"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5-1</w:t>
      </w:r>
      <w:r>
        <w:rPr>
          <w:rFonts w:ascii="Times New Roman" w:hAnsi="Times New Roman" w:eastAsia="宋体"/>
          <w:color w:val="000000" w:themeColor="text1"/>
          <w:sz w:val="24"/>
          <w:szCs w:val="24"/>
          <w:highlight w:val="none"/>
          <w14:textFill>
            <w14:solidFill>
              <w14:schemeClr w14:val="tx1"/>
            </w14:solidFill>
          </w14:textFill>
        </w:rPr>
        <w:t xml:space="preserve"> </w:t>
      </w:r>
      <w:r>
        <w:rPr>
          <w:rFonts w:hint="eastAsia" w:ascii="Times New Roman" w:hAnsi="Times New Roman" w:eastAsia="宋体"/>
          <w:color w:val="000000" w:themeColor="text1"/>
          <w:sz w:val="24"/>
          <w:szCs w:val="24"/>
          <w:highlight w:val="none"/>
          <w14:textFill>
            <w14:solidFill>
              <w14:schemeClr w14:val="tx1"/>
            </w14:solidFill>
          </w14:textFill>
        </w:rPr>
        <w:t>土地</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租赁协议</w:t>
      </w:r>
    </w:p>
    <w:p w14:paraId="63CD0A2B">
      <w:pPr>
        <w:tabs>
          <w:tab w:val="right" w:leader="dot" w:pos="8834"/>
        </w:tabs>
        <w:spacing w:line="500" w:lineRule="exact"/>
        <w:jc w:val="left"/>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附件5-2 用地红线及无需复垦说明</w:t>
      </w:r>
    </w:p>
    <w:p w14:paraId="210A59A1">
      <w:pPr>
        <w:tabs>
          <w:tab w:val="right" w:leader="dot" w:pos="8834"/>
        </w:tabs>
        <w:spacing w:line="500" w:lineRule="exact"/>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附件</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6 遂宁市环境保护局《关于蓬溪县火车站工业聚居区近期规划环境影响报告书审查意见的函》（遂</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环函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2016</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40号）</w:t>
      </w:r>
    </w:p>
    <w:p w14:paraId="73A05747">
      <w:pPr>
        <w:tabs>
          <w:tab w:val="right" w:leader="dot" w:pos="8834"/>
        </w:tabs>
        <w:spacing w:line="500" w:lineRule="exact"/>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附件</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 四川省生态环境厅《关于G42线南充至成都高速公路扩容工程环境影响报告书的批复》（川环审批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2020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29号）</w:t>
      </w:r>
    </w:p>
    <w:p w14:paraId="2E022E42">
      <w:pPr>
        <w:tabs>
          <w:tab w:val="right" w:leader="dot" w:pos="8834"/>
        </w:tabs>
        <w:spacing w:line="500" w:lineRule="exact"/>
        <w:jc w:val="left"/>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附件8 焊材检测报告</w:t>
      </w:r>
    </w:p>
    <w:p w14:paraId="12799AB2">
      <w:pPr>
        <w:tabs>
          <w:tab w:val="right" w:leader="dot" w:pos="8834"/>
        </w:tabs>
        <w:spacing w:line="500" w:lineRule="exact"/>
        <w:jc w:val="left"/>
        <w:rPr>
          <w:rFonts w:hint="default" w:ascii="Times New Roman" w:hAnsi="Times New Roman" w:eastAsia="宋体"/>
          <w:color w:val="000000" w:themeColor="text1"/>
          <w:sz w:val="24"/>
          <w:szCs w:val="24"/>
          <w:highlight w:val="none"/>
          <w:lang w:val="en-US" w:eastAsia="zh-CN"/>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cols w:space="425" w:num="1"/>
          <w:docGrid w:type="lines" w:linePitch="312" w:charSpace="0"/>
        </w:sectPr>
      </w:pPr>
    </w:p>
    <w:p w14:paraId="6F8D24C5">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2" w:name="_Toc80643341"/>
      <w:r>
        <w:rPr>
          <w:rFonts w:ascii="Times New Roman" w:hAnsi="Times New Roman" w:eastAsia="宋体"/>
          <w:b/>
          <w:bCs/>
          <w:snapToGrid w:val="0"/>
          <w:color w:val="000000" w:themeColor="text1"/>
          <w:kern w:val="0"/>
          <w:sz w:val="36"/>
          <w:szCs w:val="32"/>
          <w:highlight w:val="none"/>
          <w14:textFill>
            <w14:solidFill>
              <w14:schemeClr w14:val="tx1"/>
            </w14:solidFill>
          </w14:textFill>
        </w:rPr>
        <w:t>一、建设项目基本情况</w:t>
      </w:r>
      <w:bookmarkEnd w:id="2"/>
    </w:p>
    <w:tbl>
      <w:tblPr>
        <w:tblStyle w:val="20"/>
        <w:tblW w:w="4953"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786"/>
        <w:gridCol w:w="2196"/>
        <w:gridCol w:w="1994"/>
        <w:gridCol w:w="2924"/>
      </w:tblGrid>
      <w:tr w14:paraId="4160A7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7CD88C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建设项目名称</w:t>
            </w:r>
          </w:p>
        </w:tc>
        <w:tc>
          <w:tcPr>
            <w:tcW w:w="3996" w:type="pct"/>
            <w:gridSpan w:val="3"/>
            <w:vAlign w:val="center"/>
          </w:tcPr>
          <w:p w14:paraId="49B452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南充至成都高速公路扩容工程LJ5标段3#站</w:t>
            </w:r>
          </w:p>
        </w:tc>
      </w:tr>
      <w:tr w14:paraId="335471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2FBBC1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项目代码</w:t>
            </w:r>
          </w:p>
        </w:tc>
        <w:tc>
          <w:tcPr>
            <w:tcW w:w="3996" w:type="pct"/>
            <w:gridSpan w:val="3"/>
            <w:vAlign w:val="center"/>
          </w:tcPr>
          <w:p w14:paraId="2D6B7B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p>
        </w:tc>
      </w:tr>
      <w:tr w14:paraId="36DA1F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0C741C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建设单位联系人</w:t>
            </w:r>
          </w:p>
        </w:tc>
        <w:tc>
          <w:tcPr>
            <w:tcW w:w="1233" w:type="pct"/>
            <w:vAlign w:val="center"/>
          </w:tcPr>
          <w:p w14:paraId="4D22177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康人和</w:t>
            </w:r>
          </w:p>
        </w:tc>
        <w:tc>
          <w:tcPr>
            <w:tcW w:w="1120" w:type="pct"/>
            <w:vAlign w:val="center"/>
          </w:tcPr>
          <w:p w14:paraId="12C8AC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联系方式</w:t>
            </w:r>
          </w:p>
        </w:tc>
        <w:tc>
          <w:tcPr>
            <w:tcW w:w="1642" w:type="pct"/>
            <w:vAlign w:val="center"/>
          </w:tcPr>
          <w:p w14:paraId="52ABABE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18711391180</w:t>
            </w:r>
          </w:p>
        </w:tc>
      </w:tr>
      <w:tr w14:paraId="634E669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09BE82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建设地点</w:t>
            </w:r>
          </w:p>
        </w:tc>
        <w:tc>
          <w:tcPr>
            <w:tcW w:w="3996" w:type="pct"/>
            <w:gridSpan w:val="3"/>
            <w:vAlign w:val="center"/>
          </w:tcPr>
          <w:p w14:paraId="43208A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四川蓬溪经济开发区（火车站工业聚居区）莲花社区一社</w:t>
            </w:r>
          </w:p>
        </w:tc>
      </w:tr>
      <w:tr w14:paraId="6B2FFE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708457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地理坐标</w:t>
            </w:r>
          </w:p>
        </w:tc>
        <w:tc>
          <w:tcPr>
            <w:tcW w:w="3996" w:type="pct"/>
            <w:gridSpan w:val="3"/>
            <w:vAlign w:val="center"/>
          </w:tcPr>
          <w:p w14:paraId="2BA667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E</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105°41′38.180″，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30°41′18.106″</w:t>
            </w:r>
          </w:p>
        </w:tc>
      </w:tr>
      <w:tr w14:paraId="46DB34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6B6316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国民经济</w:t>
            </w:r>
          </w:p>
          <w:p w14:paraId="7BA4CA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行业类别</w:t>
            </w:r>
          </w:p>
        </w:tc>
        <w:tc>
          <w:tcPr>
            <w:tcW w:w="1233" w:type="pct"/>
            <w:vAlign w:val="center"/>
          </w:tcPr>
          <w:p w14:paraId="1D6775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C3021水泥制品制造</w:t>
            </w:r>
          </w:p>
        </w:tc>
        <w:tc>
          <w:tcPr>
            <w:tcW w:w="1120" w:type="pct"/>
            <w:vAlign w:val="center"/>
          </w:tcPr>
          <w:p w14:paraId="3FB9D3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w:t>
            </w:r>
          </w:p>
          <w:p w14:paraId="56ED6AA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行业类别</w:t>
            </w:r>
          </w:p>
        </w:tc>
        <w:tc>
          <w:tcPr>
            <w:tcW w:w="1642" w:type="pct"/>
            <w:vAlign w:val="center"/>
          </w:tcPr>
          <w:p w14:paraId="47DA21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二十七、非金属矿物制品业30—55石膏、水泥制品及类似制品制造</w:t>
            </w:r>
          </w:p>
        </w:tc>
      </w:tr>
      <w:tr w14:paraId="66B3DE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77EDB5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建设性质</w:t>
            </w:r>
          </w:p>
        </w:tc>
        <w:tc>
          <w:tcPr>
            <w:tcW w:w="1233" w:type="pct"/>
            <w:vAlign w:val="center"/>
          </w:tcPr>
          <w:p w14:paraId="6BD881B4">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☑新建（迁建）</w:t>
            </w:r>
          </w:p>
          <w:p w14:paraId="0BC54A37">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改建</w:t>
            </w:r>
          </w:p>
          <w:p w14:paraId="186933A2">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扩建</w:t>
            </w:r>
          </w:p>
          <w:p w14:paraId="33421F0D">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技术改造</w:t>
            </w:r>
          </w:p>
        </w:tc>
        <w:tc>
          <w:tcPr>
            <w:tcW w:w="1120" w:type="pct"/>
            <w:vAlign w:val="center"/>
          </w:tcPr>
          <w:p w14:paraId="469275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建设项目</w:t>
            </w:r>
          </w:p>
          <w:p w14:paraId="516716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申报情形</w:t>
            </w:r>
          </w:p>
        </w:tc>
        <w:tc>
          <w:tcPr>
            <w:tcW w:w="1642" w:type="pct"/>
            <w:vAlign w:val="center"/>
          </w:tcPr>
          <w:p w14:paraId="24F446F5">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☑首次申报项目</w:t>
            </w:r>
          </w:p>
          <w:p w14:paraId="67F53EE9">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不予批准后再次申报项目</w:t>
            </w:r>
          </w:p>
          <w:p w14:paraId="52DC022C">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超五年重新审核项目</w:t>
            </w:r>
          </w:p>
          <w:p w14:paraId="4AD5F7CC">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重大变动重新报批项目</w:t>
            </w:r>
          </w:p>
        </w:tc>
      </w:tr>
      <w:tr w14:paraId="72A800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6A9468C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项目审批（核</w:t>
            </w:r>
          </w:p>
          <w:p w14:paraId="318709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准/备案）部门</w:t>
            </w:r>
          </w:p>
        </w:tc>
        <w:tc>
          <w:tcPr>
            <w:tcW w:w="1233" w:type="pct"/>
            <w:vAlign w:val="center"/>
          </w:tcPr>
          <w:p w14:paraId="1F9AB3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蓬溪县行政审批局</w:t>
            </w:r>
          </w:p>
        </w:tc>
        <w:tc>
          <w:tcPr>
            <w:tcW w:w="1120" w:type="pct"/>
            <w:vAlign w:val="center"/>
          </w:tcPr>
          <w:p w14:paraId="62DEFD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项目审批（核准/</w:t>
            </w:r>
          </w:p>
          <w:p w14:paraId="27D7B4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备案）文号（选填）</w:t>
            </w:r>
          </w:p>
        </w:tc>
        <w:tc>
          <w:tcPr>
            <w:tcW w:w="1642" w:type="pct"/>
            <w:vAlign w:val="center"/>
          </w:tcPr>
          <w:p w14:paraId="7E480A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p>
        </w:tc>
      </w:tr>
      <w:tr w14:paraId="44B684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00A522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总投资（万元）</w:t>
            </w:r>
          </w:p>
        </w:tc>
        <w:tc>
          <w:tcPr>
            <w:tcW w:w="1233" w:type="pct"/>
            <w:vAlign w:val="center"/>
          </w:tcPr>
          <w:p w14:paraId="4683759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1350</w:t>
            </w:r>
          </w:p>
        </w:tc>
        <w:tc>
          <w:tcPr>
            <w:tcW w:w="1120" w:type="pct"/>
            <w:tcMar>
              <w:top w:w="16" w:type="dxa"/>
              <w:left w:w="16" w:type="dxa"/>
              <w:right w:w="16" w:type="dxa"/>
            </w:tcMar>
            <w:vAlign w:val="center"/>
          </w:tcPr>
          <w:p w14:paraId="36D3B68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环保投资（万元）</w:t>
            </w:r>
          </w:p>
        </w:tc>
        <w:tc>
          <w:tcPr>
            <w:tcW w:w="1642" w:type="pct"/>
            <w:vAlign w:val="center"/>
          </w:tcPr>
          <w:p w14:paraId="531096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110.4</w:t>
            </w:r>
          </w:p>
        </w:tc>
      </w:tr>
      <w:tr w14:paraId="7396F2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3ECCF2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环保投资占比（%）</w:t>
            </w:r>
          </w:p>
        </w:tc>
        <w:tc>
          <w:tcPr>
            <w:tcW w:w="1233" w:type="pct"/>
            <w:vAlign w:val="center"/>
          </w:tcPr>
          <w:p w14:paraId="7FA194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8.18</w:t>
            </w:r>
          </w:p>
        </w:tc>
        <w:tc>
          <w:tcPr>
            <w:tcW w:w="1120" w:type="pct"/>
            <w:tcMar>
              <w:top w:w="16" w:type="dxa"/>
              <w:left w:w="16" w:type="dxa"/>
              <w:right w:w="16" w:type="dxa"/>
            </w:tcMar>
            <w:vAlign w:val="center"/>
          </w:tcPr>
          <w:p w14:paraId="550717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施工工期</w:t>
            </w:r>
          </w:p>
        </w:tc>
        <w:tc>
          <w:tcPr>
            <w:tcW w:w="1642" w:type="pct"/>
            <w:vAlign w:val="center"/>
          </w:tcPr>
          <w:p w14:paraId="1524A7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个月</w:t>
            </w:r>
          </w:p>
        </w:tc>
      </w:tr>
      <w:tr w14:paraId="4DBB5B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1003" w:type="pct"/>
            <w:tcMar>
              <w:top w:w="16" w:type="dxa"/>
              <w:left w:w="16" w:type="dxa"/>
              <w:right w:w="16" w:type="dxa"/>
            </w:tcMar>
            <w:vAlign w:val="center"/>
          </w:tcPr>
          <w:p w14:paraId="078730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是否开工建设</w:t>
            </w:r>
          </w:p>
        </w:tc>
        <w:tc>
          <w:tcPr>
            <w:tcW w:w="1233" w:type="pct"/>
            <w:vAlign w:val="center"/>
          </w:tcPr>
          <w:p w14:paraId="509DE3A2">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☑否</w:t>
            </w:r>
          </w:p>
          <w:p w14:paraId="792F38E4">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是：           </w:t>
            </w:r>
          </w:p>
        </w:tc>
        <w:tc>
          <w:tcPr>
            <w:tcW w:w="1120" w:type="pct"/>
            <w:tcMar>
              <w:top w:w="16" w:type="dxa"/>
              <w:left w:w="16" w:type="dxa"/>
              <w:right w:w="16" w:type="dxa"/>
            </w:tcMar>
            <w:vAlign w:val="center"/>
          </w:tcPr>
          <w:p w14:paraId="7FF994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用地（用海）</w:t>
            </w:r>
          </w:p>
          <w:p w14:paraId="0FC0CA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面积（m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tc>
        <w:tc>
          <w:tcPr>
            <w:tcW w:w="1642" w:type="pct"/>
            <w:vAlign w:val="center"/>
          </w:tcPr>
          <w:p w14:paraId="526002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598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47</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2</w:t>
            </w:r>
          </w:p>
        </w:tc>
      </w:tr>
      <w:tr w14:paraId="49E7A31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57" w:hRule="atLeast"/>
        </w:trPr>
        <w:tc>
          <w:tcPr>
            <w:tcW w:w="1003" w:type="pct"/>
            <w:tcMar>
              <w:top w:w="16" w:type="dxa"/>
              <w:left w:w="16" w:type="dxa"/>
              <w:right w:w="16" w:type="dxa"/>
            </w:tcMar>
            <w:vAlign w:val="center"/>
          </w:tcPr>
          <w:p w14:paraId="58F06AB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专项评价</w:t>
            </w:r>
          </w:p>
          <w:p w14:paraId="20B88BE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设置情况</w:t>
            </w:r>
          </w:p>
        </w:tc>
        <w:tc>
          <w:tcPr>
            <w:tcW w:w="3996" w:type="pct"/>
            <w:gridSpan w:val="3"/>
            <w:tcMar>
              <w:top w:w="16" w:type="dxa"/>
              <w:left w:w="16" w:type="dxa"/>
              <w:right w:w="16" w:type="dxa"/>
            </w:tcMar>
            <w:vAlign w:val="center"/>
          </w:tcPr>
          <w:p w14:paraId="4DDC628B">
            <w:pPr>
              <w:keepNext w:val="0"/>
              <w:keepLines w:val="0"/>
              <w:pageBreakBefore w:val="0"/>
              <w:widowControl w:val="0"/>
              <w:kinsoku/>
              <w:wordWrap/>
              <w:overflowPunct/>
              <w:topLinePunct w:val="0"/>
              <w:autoSpaceDE w:val="0"/>
              <w:autoSpaceDN w:val="0"/>
              <w:bidi w:val="0"/>
              <w:adjustRightInd w:val="0"/>
              <w:snapToGrid w:val="0"/>
              <w:spacing w:before="157" w:beforeLines="50" w:line="360" w:lineRule="auto"/>
              <w:ind w:firstLine="480" w:firstLineChars="200"/>
              <w:jc w:val="left"/>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本项目专项设置原则：</w:t>
            </w:r>
          </w:p>
          <w:p w14:paraId="08B11ACB">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表1-1    项目专项评价设置情况</w:t>
            </w:r>
          </w:p>
          <w:tbl>
            <w:tblPr>
              <w:tblStyle w:val="20"/>
              <w:tblW w:w="4900" w:type="pct"/>
              <w:jc w:val="center"/>
              <w:tblLayout w:type="fixed"/>
              <w:tblCellMar>
                <w:top w:w="0" w:type="dxa"/>
                <w:left w:w="0" w:type="dxa"/>
                <w:bottom w:w="0" w:type="dxa"/>
                <w:right w:w="0" w:type="dxa"/>
              </w:tblCellMar>
            </w:tblPr>
            <w:tblGrid>
              <w:gridCol w:w="976"/>
              <w:gridCol w:w="2518"/>
              <w:gridCol w:w="2381"/>
              <w:gridCol w:w="1065"/>
            </w:tblGrid>
            <w:tr w14:paraId="415592F3">
              <w:tblPrEx>
                <w:tblCellMar>
                  <w:top w:w="0" w:type="dxa"/>
                  <w:left w:w="0" w:type="dxa"/>
                  <w:bottom w:w="0" w:type="dxa"/>
                  <w:right w:w="0" w:type="dxa"/>
                </w:tblCellMar>
              </w:tblPrEx>
              <w:trPr>
                <w:trHeight w:val="397" w:hRule="atLeast"/>
                <w:jc w:val="center"/>
              </w:trPr>
              <w:tc>
                <w:tcPr>
                  <w:tcW w:w="703" w:type="pct"/>
                  <w:tcBorders>
                    <w:top w:val="single" w:color="000000" w:sz="12" w:space="0"/>
                    <w:bottom w:val="single" w:color="000000" w:sz="4" w:space="0"/>
                    <w:right w:val="single" w:color="000000" w:sz="4" w:space="0"/>
                  </w:tcBorders>
                  <w:vAlign w:val="center"/>
                </w:tcPr>
                <w:p w14:paraId="7E4F4C78">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专项评价的类别</w:t>
                  </w:r>
                </w:p>
              </w:tc>
              <w:tc>
                <w:tcPr>
                  <w:tcW w:w="1813" w:type="pct"/>
                  <w:tcBorders>
                    <w:top w:val="single" w:color="000000" w:sz="12" w:space="0"/>
                    <w:left w:val="single" w:color="000000" w:sz="4" w:space="0"/>
                    <w:bottom w:val="single" w:color="000000" w:sz="4" w:space="0"/>
                    <w:right w:val="single" w:color="000000" w:sz="6" w:space="0"/>
                  </w:tcBorders>
                  <w:vAlign w:val="center"/>
                </w:tcPr>
                <w:p w14:paraId="50823027">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设置原则</w:t>
                  </w:r>
                </w:p>
              </w:tc>
              <w:tc>
                <w:tcPr>
                  <w:tcW w:w="1715" w:type="pct"/>
                  <w:tcBorders>
                    <w:top w:val="single" w:color="000000" w:sz="12" w:space="0"/>
                    <w:left w:val="single" w:color="000000" w:sz="4" w:space="0"/>
                    <w:bottom w:val="single" w:color="000000" w:sz="4" w:space="0"/>
                    <w:right w:val="single" w:color="000000" w:sz="6" w:space="0"/>
                  </w:tcBorders>
                  <w:vAlign w:val="center"/>
                </w:tcPr>
                <w:p w14:paraId="31C83438">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本项目</w:t>
                  </w:r>
                </w:p>
              </w:tc>
              <w:tc>
                <w:tcPr>
                  <w:tcW w:w="767" w:type="pct"/>
                  <w:tcBorders>
                    <w:top w:val="single" w:color="000000" w:sz="12" w:space="0"/>
                    <w:left w:val="single" w:color="000000" w:sz="4" w:space="0"/>
                    <w:bottom w:val="single" w:color="000000" w:sz="4" w:space="0"/>
                  </w:tcBorders>
                  <w:vAlign w:val="center"/>
                </w:tcPr>
                <w:p w14:paraId="01317062">
                  <w:pPr>
                    <w:adjustRightInd w:val="0"/>
                    <w:snapToGrid w:val="0"/>
                    <w:jc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14:textFill>
                        <w14:solidFill>
                          <w14:schemeClr w14:val="tx1"/>
                        </w14:solidFill>
                      </w14:textFill>
                    </w:rPr>
                    <w:t>是否设置</w:t>
                  </w:r>
                </w:p>
              </w:tc>
            </w:tr>
            <w:tr w14:paraId="0DCF835C">
              <w:tblPrEx>
                <w:tblCellMar>
                  <w:top w:w="0" w:type="dxa"/>
                  <w:left w:w="0" w:type="dxa"/>
                  <w:bottom w:w="0" w:type="dxa"/>
                  <w:right w:w="0" w:type="dxa"/>
                </w:tblCellMar>
              </w:tblPrEx>
              <w:trPr>
                <w:trHeight w:val="397" w:hRule="atLeast"/>
                <w:jc w:val="center"/>
              </w:trPr>
              <w:tc>
                <w:tcPr>
                  <w:tcW w:w="703" w:type="pct"/>
                  <w:tcBorders>
                    <w:top w:val="single" w:color="000000" w:sz="4" w:space="0"/>
                    <w:bottom w:val="single" w:color="000000" w:sz="4" w:space="0"/>
                    <w:right w:val="single" w:color="000000" w:sz="4" w:space="0"/>
                  </w:tcBorders>
                  <w:vAlign w:val="center"/>
                </w:tcPr>
                <w:p w14:paraId="4CA00BA0">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大气</w:t>
                  </w:r>
                </w:p>
              </w:tc>
              <w:tc>
                <w:tcPr>
                  <w:tcW w:w="1813" w:type="pct"/>
                  <w:tcBorders>
                    <w:top w:val="single" w:color="000000" w:sz="4" w:space="0"/>
                    <w:left w:val="single" w:color="000000" w:sz="4" w:space="0"/>
                    <w:bottom w:val="single" w:color="000000" w:sz="4" w:space="0"/>
                    <w:right w:val="single" w:color="000000" w:sz="6" w:space="0"/>
                  </w:tcBorders>
                  <w:vAlign w:val="center"/>
                </w:tcPr>
                <w:p w14:paraId="0D150788">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排放废气含有毒有害污染物</w:t>
                  </w:r>
                  <w:r>
                    <w:rPr>
                      <w:rFonts w:hint="default" w:ascii="Times New Roman" w:hAnsi="Times New Roman" w:eastAsia="宋体" w:cs="Times New Roman"/>
                      <w:bCs/>
                      <w:color w:val="000000" w:themeColor="text1"/>
                      <w:sz w:val="21"/>
                      <w:szCs w:val="21"/>
                      <w:highlight w:val="none"/>
                      <w:vertAlign w:val="superscript"/>
                      <w14:textFill>
                        <w14:solidFill>
                          <w14:schemeClr w14:val="tx1"/>
                        </w14:solidFill>
                      </w14:textFill>
                    </w:rPr>
                    <w:t>1</w:t>
                  </w:r>
                  <w:r>
                    <w:rPr>
                      <w:rFonts w:hint="default" w:ascii="Times New Roman" w:hAnsi="Times New Roman" w:eastAsia="宋体" w:cs="Times New Roman"/>
                      <w:bCs/>
                      <w:color w:val="000000" w:themeColor="text1"/>
                      <w:sz w:val="21"/>
                      <w:szCs w:val="21"/>
                      <w:highlight w:val="none"/>
                      <w14:textFill>
                        <w14:solidFill>
                          <w14:schemeClr w14:val="tx1"/>
                        </w14:solidFill>
                      </w14:textFill>
                    </w:rPr>
                    <w:t>、二噁英、苯并[a]芘、氰化物、氯气且厂界外500米范围内有环境空气保护目标</w:t>
                  </w:r>
                  <w:r>
                    <w:rPr>
                      <w:rFonts w:hint="default" w:ascii="Times New Roman" w:hAnsi="Times New Roman" w:eastAsia="宋体" w:cs="Times New Roman"/>
                      <w:bCs/>
                      <w:color w:val="000000" w:themeColor="text1"/>
                      <w:sz w:val="21"/>
                      <w:szCs w:val="21"/>
                      <w:highlight w:val="none"/>
                      <w:vertAlign w:val="superscript"/>
                      <w14:textFill>
                        <w14:solidFill>
                          <w14:schemeClr w14:val="tx1"/>
                        </w14:solidFill>
                      </w14:textFill>
                    </w:rPr>
                    <w:t>2</w:t>
                  </w:r>
                  <w:r>
                    <w:rPr>
                      <w:rFonts w:hint="default" w:ascii="Times New Roman" w:hAnsi="Times New Roman" w:eastAsia="宋体" w:cs="Times New Roman"/>
                      <w:bCs/>
                      <w:color w:val="000000" w:themeColor="text1"/>
                      <w:sz w:val="21"/>
                      <w:szCs w:val="21"/>
                      <w:highlight w:val="none"/>
                      <w14:textFill>
                        <w14:solidFill>
                          <w14:schemeClr w14:val="tx1"/>
                        </w14:solidFill>
                      </w14:textFill>
                    </w:rPr>
                    <w:t>的建设项目</w:t>
                  </w:r>
                </w:p>
              </w:tc>
              <w:tc>
                <w:tcPr>
                  <w:tcW w:w="1715" w:type="pct"/>
                  <w:tcBorders>
                    <w:top w:val="single" w:color="000000" w:sz="4" w:space="0"/>
                    <w:left w:val="single" w:color="000000" w:sz="4" w:space="0"/>
                    <w:bottom w:val="single" w:color="000000" w:sz="4" w:space="0"/>
                    <w:right w:val="single" w:color="000000" w:sz="6" w:space="0"/>
                  </w:tcBorders>
                  <w:vAlign w:val="center"/>
                </w:tcPr>
                <w:p w14:paraId="1A422306">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本项目不涉及排放含有毒有害污染物</w:t>
                  </w:r>
                  <w:r>
                    <w:rPr>
                      <w:rFonts w:hint="default" w:ascii="Times New Roman" w:hAnsi="Times New Roman" w:eastAsia="宋体" w:cs="Times New Roman"/>
                      <w:bCs/>
                      <w:color w:val="000000" w:themeColor="text1"/>
                      <w:sz w:val="21"/>
                      <w:szCs w:val="21"/>
                      <w:highlight w:val="none"/>
                      <w:vertAlign w:val="superscript"/>
                      <w14:textFill>
                        <w14:solidFill>
                          <w14:schemeClr w14:val="tx1"/>
                        </w14:solidFill>
                      </w14:textFill>
                    </w:rPr>
                    <w:t>1</w:t>
                  </w:r>
                  <w:r>
                    <w:rPr>
                      <w:rFonts w:hint="default" w:ascii="Times New Roman" w:hAnsi="Times New Roman" w:eastAsia="宋体" w:cs="Times New Roman"/>
                      <w:bCs/>
                      <w:color w:val="000000" w:themeColor="text1"/>
                      <w:sz w:val="21"/>
                      <w:szCs w:val="21"/>
                      <w:highlight w:val="none"/>
                      <w14:textFill>
                        <w14:solidFill>
                          <w14:schemeClr w14:val="tx1"/>
                        </w14:solidFill>
                      </w14:textFill>
                    </w:rPr>
                    <w:t>、二噁英、苯并[a]芘、氰化物、氯气等污染物。</w:t>
                  </w:r>
                </w:p>
              </w:tc>
              <w:tc>
                <w:tcPr>
                  <w:tcW w:w="767" w:type="pct"/>
                  <w:tcBorders>
                    <w:top w:val="single" w:color="000000" w:sz="4" w:space="0"/>
                    <w:left w:val="single" w:color="000000" w:sz="4" w:space="0"/>
                    <w:bottom w:val="single" w:color="000000" w:sz="4" w:space="0"/>
                  </w:tcBorders>
                  <w:vAlign w:val="center"/>
                </w:tcPr>
                <w:p w14:paraId="7F176EB1">
                  <w:pPr>
                    <w:adjustRightInd w:val="0"/>
                    <w:snapToGrid w:val="0"/>
                    <w:ind w:left="102"/>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68BBF858">
              <w:tblPrEx>
                <w:tblCellMar>
                  <w:top w:w="0" w:type="dxa"/>
                  <w:left w:w="0" w:type="dxa"/>
                  <w:bottom w:w="0" w:type="dxa"/>
                  <w:right w:w="0" w:type="dxa"/>
                </w:tblCellMar>
              </w:tblPrEx>
              <w:trPr>
                <w:trHeight w:val="397" w:hRule="atLeast"/>
                <w:jc w:val="center"/>
              </w:trPr>
              <w:tc>
                <w:tcPr>
                  <w:tcW w:w="703" w:type="pct"/>
                  <w:tcBorders>
                    <w:top w:val="single" w:color="000000" w:sz="4" w:space="0"/>
                    <w:bottom w:val="single" w:color="000000" w:sz="4" w:space="0"/>
                    <w:right w:val="single" w:color="000000" w:sz="4" w:space="0"/>
                  </w:tcBorders>
                  <w:vAlign w:val="center"/>
                </w:tcPr>
                <w:p w14:paraId="25E38AD6">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地表水</w:t>
                  </w:r>
                </w:p>
              </w:tc>
              <w:tc>
                <w:tcPr>
                  <w:tcW w:w="1813" w:type="pct"/>
                  <w:tcBorders>
                    <w:top w:val="single" w:color="000000" w:sz="4" w:space="0"/>
                    <w:left w:val="single" w:color="000000" w:sz="4" w:space="0"/>
                    <w:bottom w:val="single" w:color="000000" w:sz="4" w:space="0"/>
                    <w:right w:val="single" w:color="000000" w:sz="6" w:space="0"/>
                  </w:tcBorders>
                  <w:vAlign w:val="center"/>
                </w:tcPr>
                <w:p w14:paraId="0CCE6433">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新增工业废水直排建设项目（槽罐车外送污水处理厂的除外）；新增废水直排的污水集中处理厂</w:t>
                  </w:r>
                </w:p>
              </w:tc>
              <w:tc>
                <w:tcPr>
                  <w:tcW w:w="1715" w:type="pct"/>
                  <w:tcBorders>
                    <w:top w:val="single" w:color="000000" w:sz="4" w:space="0"/>
                    <w:left w:val="single" w:color="000000" w:sz="4" w:space="0"/>
                    <w:bottom w:val="single" w:color="000000" w:sz="4" w:space="0"/>
                    <w:right w:val="single" w:color="000000" w:sz="6" w:space="0"/>
                  </w:tcBorders>
                  <w:vAlign w:val="center"/>
                </w:tcPr>
                <w:p w14:paraId="79CD8ADE">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不涉及</w:t>
                  </w:r>
                </w:p>
              </w:tc>
              <w:tc>
                <w:tcPr>
                  <w:tcW w:w="767" w:type="pct"/>
                  <w:tcBorders>
                    <w:top w:val="single" w:color="000000" w:sz="4" w:space="0"/>
                    <w:left w:val="single" w:color="000000" w:sz="4" w:space="0"/>
                    <w:bottom w:val="single" w:color="000000" w:sz="4" w:space="0"/>
                  </w:tcBorders>
                  <w:vAlign w:val="center"/>
                </w:tcPr>
                <w:p w14:paraId="23902896">
                  <w:pPr>
                    <w:adjustRightInd w:val="0"/>
                    <w:snapToGrid w:val="0"/>
                    <w:ind w:left="102"/>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1430FD6A">
              <w:tblPrEx>
                <w:tblCellMar>
                  <w:top w:w="0" w:type="dxa"/>
                  <w:left w:w="0" w:type="dxa"/>
                  <w:bottom w:w="0" w:type="dxa"/>
                  <w:right w:w="0" w:type="dxa"/>
                </w:tblCellMar>
              </w:tblPrEx>
              <w:trPr>
                <w:trHeight w:val="397" w:hRule="atLeast"/>
                <w:jc w:val="center"/>
              </w:trPr>
              <w:tc>
                <w:tcPr>
                  <w:tcW w:w="703" w:type="pct"/>
                  <w:tcBorders>
                    <w:top w:val="single" w:color="000000" w:sz="4" w:space="0"/>
                    <w:bottom w:val="single" w:color="000000" w:sz="4" w:space="0"/>
                    <w:right w:val="single" w:color="000000" w:sz="4" w:space="0"/>
                  </w:tcBorders>
                  <w:vAlign w:val="center"/>
                </w:tcPr>
                <w:p w14:paraId="2A5C9625">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环境风险</w:t>
                  </w:r>
                </w:p>
              </w:tc>
              <w:tc>
                <w:tcPr>
                  <w:tcW w:w="1813" w:type="pct"/>
                  <w:tcBorders>
                    <w:top w:val="single" w:color="000000" w:sz="4" w:space="0"/>
                    <w:left w:val="single" w:color="000000" w:sz="4" w:space="0"/>
                    <w:bottom w:val="single" w:color="000000" w:sz="4" w:space="0"/>
                    <w:right w:val="single" w:color="000000" w:sz="6" w:space="0"/>
                  </w:tcBorders>
                  <w:vAlign w:val="center"/>
                </w:tcPr>
                <w:p w14:paraId="231A5C8E">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有毒有害和易燃易爆危险物质存储量超过临界量</w:t>
                  </w:r>
                  <w:r>
                    <w:rPr>
                      <w:rFonts w:hint="default" w:ascii="Times New Roman" w:hAnsi="Times New Roman" w:eastAsia="宋体" w:cs="Times New Roman"/>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Cs/>
                      <w:color w:val="000000" w:themeColor="text1"/>
                      <w:sz w:val="21"/>
                      <w:szCs w:val="21"/>
                      <w:highlight w:val="none"/>
                      <w14:textFill>
                        <w14:solidFill>
                          <w14:schemeClr w14:val="tx1"/>
                        </w14:solidFill>
                      </w14:textFill>
                    </w:rPr>
                    <w:t>的建设项目</w:t>
                  </w:r>
                </w:p>
              </w:tc>
              <w:tc>
                <w:tcPr>
                  <w:tcW w:w="1715" w:type="pct"/>
                  <w:tcBorders>
                    <w:top w:val="single" w:color="000000" w:sz="4" w:space="0"/>
                    <w:left w:val="single" w:color="000000" w:sz="4" w:space="0"/>
                    <w:bottom w:val="single" w:color="000000" w:sz="4" w:space="0"/>
                    <w:right w:val="single" w:color="000000" w:sz="6" w:space="0"/>
                  </w:tcBorders>
                  <w:vAlign w:val="center"/>
                </w:tcPr>
                <w:p w14:paraId="2E6C545B">
                  <w:pPr>
                    <w:adjustRightInd w:val="0"/>
                    <w:snapToGrid w:val="0"/>
                    <w:jc w:val="cente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本项目有毒有害和易燃易爆危险物质存储量</w:t>
                  </w: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未</w:t>
                  </w:r>
                  <w:r>
                    <w:rPr>
                      <w:rFonts w:hint="default" w:ascii="Times New Roman" w:hAnsi="Times New Roman" w:eastAsia="宋体" w:cs="Times New Roman"/>
                      <w:bCs/>
                      <w:color w:val="000000" w:themeColor="text1"/>
                      <w:sz w:val="21"/>
                      <w:szCs w:val="21"/>
                      <w:highlight w:val="none"/>
                      <w14:textFill>
                        <w14:solidFill>
                          <w14:schemeClr w14:val="tx1"/>
                        </w14:solidFill>
                      </w14:textFill>
                    </w:rPr>
                    <w:t>超过临界量</w:t>
                  </w: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w:t>
                  </w:r>
                </w:p>
              </w:tc>
              <w:tc>
                <w:tcPr>
                  <w:tcW w:w="767" w:type="pct"/>
                  <w:tcBorders>
                    <w:top w:val="single" w:color="000000" w:sz="4" w:space="0"/>
                    <w:left w:val="single" w:color="000000" w:sz="4" w:space="0"/>
                    <w:bottom w:val="single" w:color="000000" w:sz="4" w:space="0"/>
                  </w:tcBorders>
                  <w:vAlign w:val="center"/>
                </w:tcPr>
                <w:p w14:paraId="432D2FF9">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44ECF148">
              <w:tblPrEx>
                <w:tblCellMar>
                  <w:top w:w="0" w:type="dxa"/>
                  <w:left w:w="0" w:type="dxa"/>
                  <w:bottom w:w="0" w:type="dxa"/>
                  <w:right w:w="0" w:type="dxa"/>
                </w:tblCellMar>
              </w:tblPrEx>
              <w:trPr>
                <w:trHeight w:val="397" w:hRule="atLeast"/>
                <w:jc w:val="center"/>
              </w:trPr>
              <w:tc>
                <w:tcPr>
                  <w:tcW w:w="703" w:type="pct"/>
                  <w:tcBorders>
                    <w:top w:val="single" w:color="000000" w:sz="4" w:space="0"/>
                    <w:bottom w:val="single" w:color="000000" w:sz="4" w:space="0"/>
                    <w:right w:val="single" w:color="000000" w:sz="4" w:space="0"/>
                  </w:tcBorders>
                  <w:vAlign w:val="center"/>
                </w:tcPr>
                <w:p w14:paraId="7A5C3554">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生态</w:t>
                  </w:r>
                </w:p>
              </w:tc>
              <w:tc>
                <w:tcPr>
                  <w:tcW w:w="1813" w:type="pct"/>
                  <w:tcBorders>
                    <w:top w:val="single" w:color="000000" w:sz="4" w:space="0"/>
                    <w:left w:val="single" w:color="000000" w:sz="4" w:space="0"/>
                    <w:bottom w:val="single" w:color="000000" w:sz="4" w:space="0"/>
                    <w:right w:val="single" w:color="000000" w:sz="6" w:space="0"/>
                  </w:tcBorders>
                  <w:vAlign w:val="center"/>
                </w:tcPr>
                <w:p w14:paraId="342D9FB1">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取水口下游500米范围内有重要水生生物的自然产卵场、索饵场、越冬场和洄游通道的新增河道取水的污染类建设项目</w:t>
                  </w:r>
                </w:p>
              </w:tc>
              <w:tc>
                <w:tcPr>
                  <w:tcW w:w="1715" w:type="pct"/>
                  <w:tcBorders>
                    <w:top w:val="single" w:color="000000" w:sz="4" w:space="0"/>
                    <w:left w:val="single" w:color="000000" w:sz="4" w:space="0"/>
                    <w:bottom w:val="single" w:color="000000" w:sz="4" w:space="0"/>
                    <w:right w:val="single" w:color="000000" w:sz="6" w:space="0"/>
                  </w:tcBorders>
                  <w:vAlign w:val="center"/>
                </w:tcPr>
                <w:p w14:paraId="4B10EA4A">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不涉及</w:t>
                  </w:r>
                </w:p>
              </w:tc>
              <w:tc>
                <w:tcPr>
                  <w:tcW w:w="767" w:type="pct"/>
                  <w:tcBorders>
                    <w:top w:val="single" w:color="000000" w:sz="4" w:space="0"/>
                    <w:left w:val="single" w:color="000000" w:sz="4" w:space="0"/>
                    <w:bottom w:val="single" w:color="000000" w:sz="4" w:space="0"/>
                  </w:tcBorders>
                  <w:vAlign w:val="center"/>
                </w:tcPr>
                <w:p w14:paraId="70913220">
                  <w:pPr>
                    <w:adjustRightInd w:val="0"/>
                    <w:snapToGrid w:val="0"/>
                    <w:ind w:left="102"/>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r w14:paraId="65CB4768">
              <w:tblPrEx>
                <w:tblCellMar>
                  <w:top w:w="0" w:type="dxa"/>
                  <w:left w:w="0" w:type="dxa"/>
                  <w:bottom w:w="0" w:type="dxa"/>
                  <w:right w:w="0" w:type="dxa"/>
                </w:tblCellMar>
              </w:tblPrEx>
              <w:trPr>
                <w:trHeight w:val="397" w:hRule="atLeast"/>
                <w:jc w:val="center"/>
              </w:trPr>
              <w:tc>
                <w:tcPr>
                  <w:tcW w:w="703" w:type="pct"/>
                  <w:tcBorders>
                    <w:top w:val="single" w:color="000000" w:sz="4" w:space="0"/>
                    <w:bottom w:val="single" w:color="000000" w:sz="12" w:space="0"/>
                    <w:right w:val="single" w:color="000000" w:sz="4" w:space="0"/>
                  </w:tcBorders>
                  <w:vAlign w:val="center"/>
                </w:tcPr>
                <w:p w14:paraId="1779A387">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海洋</w:t>
                  </w:r>
                </w:p>
              </w:tc>
              <w:tc>
                <w:tcPr>
                  <w:tcW w:w="1813" w:type="pct"/>
                  <w:tcBorders>
                    <w:top w:val="single" w:color="000000" w:sz="4" w:space="0"/>
                    <w:left w:val="single" w:color="000000" w:sz="4" w:space="0"/>
                    <w:bottom w:val="single" w:color="000000" w:sz="12" w:space="0"/>
                    <w:right w:val="single" w:color="000000" w:sz="6" w:space="0"/>
                  </w:tcBorders>
                  <w:vAlign w:val="center"/>
                </w:tcPr>
                <w:p w14:paraId="1AC9A54C">
                  <w:pPr>
                    <w:adjustRightInd w:val="0"/>
                    <w:snapToGrid w:val="0"/>
                    <w:ind w:left="102"/>
                    <w:jc w:val="left"/>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直接向海排放污染物的海洋工程建设项目</w:t>
                  </w:r>
                </w:p>
              </w:tc>
              <w:tc>
                <w:tcPr>
                  <w:tcW w:w="1715" w:type="pct"/>
                  <w:tcBorders>
                    <w:top w:val="single" w:color="000000" w:sz="4" w:space="0"/>
                    <w:left w:val="single" w:color="000000" w:sz="4" w:space="0"/>
                    <w:bottom w:val="single" w:color="000000" w:sz="12" w:space="0"/>
                    <w:right w:val="single" w:color="000000" w:sz="6" w:space="0"/>
                  </w:tcBorders>
                  <w:vAlign w:val="center"/>
                </w:tcPr>
                <w:p w14:paraId="4AE0223F">
                  <w:pPr>
                    <w:adjustRightInd w:val="0"/>
                    <w:snapToGrid w:val="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不涉及</w:t>
                  </w:r>
                </w:p>
              </w:tc>
              <w:tc>
                <w:tcPr>
                  <w:tcW w:w="767" w:type="pct"/>
                  <w:tcBorders>
                    <w:top w:val="single" w:color="000000" w:sz="4" w:space="0"/>
                    <w:left w:val="single" w:color="000000" w:sz="4" w:space="0"/>
                    <w:bottom w:val="single" w:color="000000" w:sz="12" w:space="0"/>
                  </w:tcBorders>
                  <w:vAlign w:val="center"/>
                </w:tcPr>
                <w:p w14:paraId="0D9E1637">
                  <w:pPr>
                    <w:adjustRightInd w:val="0"/>
                    <w:snapToGrid w:val="0"/>
                    <w:ind w:left="102"/>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否</w:t>
                  </w:r>
                </w:p>
              </w:tc>
            </w:tr>
          </w:tbl>
          <w:p w14:paraId="42423DC4">
            <w:pPr>
              <w:keepNext w:val="0"/>
              <w:keepLines w:val="0"/>
              <w:pageBreakBefore w:val="0"/>
              <w:widowControl w:val="0"/>
              <w:kinsoku w:val="0"/>
              <w:wordWrap/>
              <w:overflowPunct w:val="0"/>
              <w:topLinePunct w:val="0"/>
              <w:autoSpaceDE w:val="0"/>
              <w:autoSpaceDN w:val="0"/>
              <w:bidi w:val="0"/>
              <w:adjustRightInd w:val="0"/>
              <w:snapToGrid w:val="0"/>
              <w:spacing w:line="240" w:lineRule="auto"/>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注：1.废气中有毒有害污染物指纳入《有毒有害大气污染物名录》的污染物（不包括无排放标准</w:t>
            </w:r>
            <w:r>
              <w:rPr>
                <w:rFonts w:hint="default" w:ascii="Times New Roman" w:hAnsi="Times New Roman" w:eastAsia="宋体" w:cs="Times New Roman"/>
                <w:color w:val="000000" w:themeColor="text1"/>
                <w:spacing w:val="-99"/>
                <w:kern w:val="0"/>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kern w:val="0"/>
                <w:szCs w:val="21"/>
                <w:highlight w:val="none"/>
                <w14:textFill>
                  <w14:solidFill>
                    <w14:schemeClr w14:val="tx1"/>
                  </w14:solidFill>
                </w14:textFill>
              </w:rPr>
              <w:t>的污染物）。</w:t>
            </w:r>
          </w:p>
          <w:p w14:paraId="7ECFC2D4">
            <w:pPr>
              <w:keepNext w:val="0"/>
              <w:keepLines w:val="0"/>
              <w:pageBreakBefore w:val="0"/>
              <w:widowControl w:val="0"/>
              <w:wordWrap/>
              <w:overflowPunct w:val="0"/>
              <w:topLinePunct w:val="0"/>
              <w:autoSpaceDE w:val="0"/>
              <w:autoSpaceDN w:val="0"/>
              <w:bidi w:val="0"/>
              <w:adjustRightInd w:val="0"/>
              <w:snapToGrid w:val="0"/>
              <w:spacing w:line="240" w:lineRule="auto"/>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2.环境空气保护目标指自然保护区、风景名胜区、居住区、文化区和农村地区中人群较集中的区域。</w:t>
            </w:r>
          </w:p>
          <w:p w14:paraId="1B80A2F0">
            <w:pPr>
              <w:keepNext w:val="0"/>
              <w:keepLines w:val="0"/>
              <w:pageBreakBefore w:val="0"/>
              <w:widowControl w:val="0"/>
              <w:kinsoku/>
              <w:wordWrap/>
              <w:overflowPunct/>
              <w:topLinePunct w:val="0"/>
              <w:autoSpaceDE/>
              <w:autoSpaceDN/>
              <w:bidi w:val="0"/>
              <w:adjustRightInd w:val="0"/>
              <w:snapToGrid w:val="0"/>
              <w:spacing w:line="240" w:lineRule="auto"/>
              <w:ind w:firstLine="408"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pacing w:val="-3"/>
                <w:kern w:val="0"/>
                <w:szCs w:val="21"/>
                <w:highlight w:val="none"/>
                <w14:textFill>
                  <w14:solidFill>
                    <w14:schemeClr w14:val="tx1"/>
                  </w14:solidFill>
                </w14:textFill>
              </w:rPr>
              <w:t>3.临界量及其计算方法可参考《建设项目环境风险评价技术导则》（HJ</w:t>
            </w:r>
            <w:r>
              <w:rPr>
                <w:rFonts w:hint="default" w:ascii="Times New Roman" w:hAnsi="Times New Roman" w:eastAsia="宋体" w:cs="Times New Roman"/>
                <w:color w:val="000000" w:themeColor="text1"/>
                <w:spacing w:val="-54"/>
                <w:kern w:val="0"/>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kern w:val="0"/>
                <w:szCs w:val="21"/>
                <w:highlight w:val="none"/>
                <w14:textFill>
                  <w14:solidFill>
                    <w14:schemeClr w14:val="tx1"/>
                  </w14:solidFill>
                </w14:textFill>
              </w:rPr>
              <w:t>169）附录</w:t>
            </w:r>
            <w:r>
              <w:rPr>
                <w:rFonts w:hint="default" w:ascii="Times New Roman" w:hAnsi="Times New Roman" w:eastAsia="宋体" w:cs="Times New Roman"/>
                <w:color w:val="000000" w:themeColor="text1"/>
                <w:spacing w:val="-52"/>
                <w:kern w:val="0"/>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7"/>
                <w:kern w:val="0"/>
                <w:szCs w:val="21"/>
                <w:highlight w:val="none"/>
                <w14:textFill>
                  <w14:solidFill>
                    <w14:schemeClr w14:val="tx1"/>
                  </w14:solidFill>
                </w14:textFill>
              </w:rPr>
              <w:t>B、附录</w:t>
            </w:r>
            <w:r>
              <w:rPr>
                <w:rFonts w:hint="default" w:ascii="Times New Roman" w:hAnsi="Times New Roman" w:eastAsia="宋体" w:cs="Times New Roman"/>
                <w:color w:val="000000" w:themeColor="text1"/>
                <w:spacing w:val="-52"/>
                <w:kern w:val="0"/>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kern w:val="0"/>
                <w:szCs w:val="21"/>
                <w:highlight w:val="none"/>
                <w14:textFill>
                  <w14:solidFill>
                    <w14:schemeClr w14:val="tx1"/>
                  </w14:solidFill>
                </w14:textFill>
              </w:rPr>
              <w:t>C。</w:t>
            </w:r>
          </w:p>
          <w:p w14:paraId="6580A3A9">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此外，本项目土壤、声环境不开展专项评价，项目不涉及集中式饮用水水源和热水、矿泉水、温泉等特殊地下水资源保护区，因此不开展地下水专项评价。</w:t>
            </w:r>
          </w:p>
          <w:p w14:paraId="2E87183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综上，本项目</w:t>
            </w:r>
            <w:r>
              <w:rPr>
                <w:rFonts w:hint="default" w:ascii="Times New Roman" w:hAnsi="Times New Roman" w:eastAsia="宋体" w:cs="Times New Roman"/>
                <w:color w:val="000000" w:themeColor="text1"/>
                <w:sz w:val="24"/>
                <w:szCs w:val="24"/>
                <w:highlight w:val="none"/>
                <w14:textFill>
                  <w14:solidFill>
                    <w14:schemeClr w14:val="tx1"/>
                  </w14:solidFill>
                </w14:textFill>
              </w:rPr>
              <w:t>无需设置专项评价</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tc>
      </w:tr>
      <w:tr w14:paraId="5921DA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1003" w:type="pct"/>
            <w:tcMar>
              <w:top w:w="16" w:type="dxa"/>
              <w:left w:w="16" w:type="dxa"/>
              <w:right w:w="16" w:type="dxa"/>
            </w:tcMar>
            <w:vAlign w:val="center"/>
          </w:tcPr>
          <w:p w14:paraId="1267FA9D">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规划情况</w:t>
            </w:r>
          </w:p>
        </w:tc>
        <w:tc>
          <w:tcPr>
            <w:tcW w:w="3996" w:type="pct"/>
            <w:gridSpan w:val="3"/>
            <w:tcMar>
              <w:top w:w="16" w:type="dxa"/>
              <w:left w:w="16" w:type="dxa"/>
              <w:right w:w="16" w:type="dxa"/>
            </w:tcMar>
            <w:vAlign w:val="center"/>
          </w:tcPr>
          <w:p w14:paraId="0CE8AFC4">
            <w:pPr>
              <w:keepNext w:val="0"/>
              <w:keepLines w:val="0"/>
              <w:pageBreakBefore w:val="0"/>
              <w:widowControl w:val="0"/>
              <w:kinsoku/>
              <w:wordWrap/>
              <w:overflowPunct/>
              <w:topLinePunct w:val="0"/>
              <w:autoSpaceDE/>
              <w:autoSpaceDN/>
              <w:bidi w:val="0"/>
              <w:adjustRightInd w:val="0"/>
              <w:snapToGrid w:val="0"/>
              <w:spacing w:before="157" w:beforeLines="50" w:line="36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蓬溪县城乡规划管理局《蓬溪县火车站工业聚居区控制性详细规划》规划时间：2014年12月。</w:t>
            </w:r>
          </w:p>
        </w:tc>
      </w:tr>
      <w:tr w14:paraId="582D59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681" w:hRule="atLeast"/>
        </w:trPr>
        <w:tc>
          <w:tcPr>
            <w:tcW w:w="1003" w:type="pct"/>
            <w:tcMar>
              <w:top w:w="16" w:type="dxa"/>
              <w:left w:w="16" w:type="dxa"/>
              <w:right w:w="16" w:type="dxa"/>
            </w:tcMar>
            <w:vAlign w:val="center"/>
          </w:tcPr>
          <w:p w14:paraId="276B7E1C">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规划环境影响</w:t>
            </w:r>
          </w:p>
          <w:p w14:paraId="2BAAFD94">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评价情况</w:t>
            </w:r>
          </w:p>
        </w:tc>
        <w:tc>
          <w:tcPr>
            <w:tcW w:w="3996" w:type="pct"/>
            <w:gridSpan w:val="3"/>
            <w:tcMar>
              <w:top w:w="16" w:type="dxa"/>
              <w:left w:w="16" w:type="dxa"/>
              <w:right w:w="16" w:type="dxa"/>
            </w:tcMar>
            <w:vAlign w:val="center"/>
          </w:tcPr>
          <w:p w14:paraId="3F31F26F">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已开展园区规划环评。</w:t>
            </w:r>
          </w:p>
          <w:p w14:paraId="71F39B8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规划环评审批机关：遂宁市环境保护局；</w:t>
            </w:r>
          </w:p>
          <w:p w14:paraId="1B7835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规划环评名称：《遂宁市环境保护局关于蓬溪县火车站工业聚居区近期规划环境影响报告书审查意见的函》；</w:t>
            </w:r>
          </w:p>
          <w:p w14:paraId="5BC0F86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批复号：遂环函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2016</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40号；</w:t>
            </w:r>
          </w:p>
          <w:p w14:paraId="0272A28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批复时间：2016年。</w:t>
            </w:r>
          </w:p>
        </w:tc>
      </w:tr>
      <w:tr w14:paraId="4C1407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501" w:hRule="atLeast"/>
        </w:trPr>
        <w:tc>
          <w:tcPr>
            <w:tcW w:w="1003" w:type="pct"/>
            <w:tcMar>
              <w:top w:w="16" w:type="dxa"/>
              <w:left w:w="16" w:type="dxa"/>
              <w:right w:w="16" w:type="dxa"/>
            </w:tcMar>
            <w:vAlign w:val="center"/>
          </w:tcPr>
          <w:p w14:paraId="516799B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规划及</w:t>
            </w:r>
            <w:r>
              <w:rPr>
                <w:rFonts w:hint="default" w:ascii="Times New Roman" w:hAnsi="Times New Roman" w:eastAsia="宋体" w:cs="Times New Roman"/>
                <w:color w:val="000000" w:themeColor="text1"/>
                <w:sz w:val="24"/>
                <w:szCs w:val="24"/>
                <w:highlight w:val="none"/>
                <w14:textFill>
                  <w14:solidFill>
                    <w14:schemeClr w14:val="tx1"/>
                  </w14:solidFill>
                </w14:textFill>
              </w:rPr>
              <w:t>规划环境影响评价</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符合性分析</w:t>
            </w:r>
          </w:p>
        </w:tc>
        <w:tc>
          <w:tcPr>
            <w:tcW w:w="3996" w:type="pct"/>
            <w:gridSpan w:val="3"/>
            <w:tcMar>
              <w:top w:w="16" w:type="dxa"/>
              <w:left w:w="16" w:type="dxa"/>
              <w:right w:w="16" w:type="dxa"/>
            </w:tcMar>
            <w:vAlign w:val="top"/>
          </w:tcPr>
          <w:p w14:paraId="4E7E8D5D">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一、</w:t>
            </w:r>
            <w:r>
              <w:rPr>
                <w:rFonts w:hint="default" w:ascii="Times New Roman" w:hAnsi="Times New Roman" w:eastAsia="宋体" w:cs="Times New Roman"/>
                <w:color w:val="000000" w:themeColor="text1"/>
                <w:sz w:val="24"/>
                <w:szCs w:val="24"/>
                <w:highlight w:val="none"/>
                <w14:textFill>
                  <w14:solidFill>
                    <w14:schemeClr w14:val="tx1"/>
                  </w14:solidFill>
                </w14:textFill>
              </w:rPr>
              <w:t>与蓬溪县火车站工业聚居区相关规划符合性</w:t>
            </w:r>
          </w:p>
          <w:p w14:paraId="7B238A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1、基本情况</w:t>
            </w:r>
          </w:p>
          <w:p w14:paraId="2986452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2015年，蓬溪县城南经济发展管理局组织开展了蓬溪县火车站工业聚居区近期规划环评相关工作，并于2016年2月取得遂宁市环境保护局出具的《遂宁市环境保护局关于蓬溪县火车站工业聚居区近期规划环境影响报告书审查意见的函》（遂环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2016</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号），该函中确认该园区产业定位为建材、物流产业等，仓储物流业禁止涉及有毒、有害、易燃助燃、易爆、具腐蚀性等危险化学品的仓储、物流配送，对石油类的仓储物流除外。蓬溪县火车站工业聚居区近期规划面积398.14公顷。</w:t>
            </w:r>
          </w:p>
          <w:p w14:paraId="5657742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2、四至范围</w:t>
            </w:r>
          </w:p>
          <w:p w14:paraId="773BCB6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四至范围为：东至鸣凤镇晒金村三组，南至宝梵镇道德村四组，西至宝梵镇鹤桥村一组，北至宝梵镇龙洞村七组。</w:t>
            </w:r>
          </w:p>
          <w:p w14:paraId="6258120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3、鼓励和禁止进入规划区行业名录</w:t>
            </w:r>
          </w:p>
          <w:p w14:paraId="0EEDC5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鼓励类：①符合园区主导产业和功能分区的项目。②主导产业或重要项目的上下游企业，或有利于区域实现循环经济和可持续发展的企业，若与规划区或片区主业发展不形成交叉影响，鼓励其发展</w:t>
            </w:r>
          </w:p>
          <w:p w14:paraId="7401B4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禁止类：①不符合国家现行产业政策的相关项目；②禁止引入涉及有毒、有害、易燃助燃、易爆、具腐蚀性等危险化学品的仓储、物流行业，对石油类的仓储物流除外；③新建冶炼、焦化等大气污染物排放量大的项目；④新建生猪屠宰、制浆造纸、印染、制革、医药、农药、电镀、化工等水污染物排放量大的项目；⑤禁止技术落后，项目清洁生产水平不能达到行业清洁生产标准二级标准要求或低于全国同类企业平均清洁生产水平的项目。</w:t>
            </w:r>
          </w:p>
          <w:p w14:paraId="187DF35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color w:val="000000" w:themeColor="text1"/>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允许类：与园区主导产业不相冲突，与园区产业布局规划不相禁忌的项目。</w:t>
            </w:r>
          </w:p>
          <w:p w14:paraId="4720345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本项目为</w:t>
            </w:r>
            <w:r>
              <w:rPr>
                <w:rFonts w:hint="default" w:ascii="Times New Roman" w:hAnsi="Times New Roman" w:eastAsia="宋体" w:cs="Times New Roman"/>
                <w:color w:val="000000" w:themeColor="text1"/>
                <w:sz w:val="24"/>
                <w:szCs w:val="24"/>
                <w:highlight w:val="none"/>
                <w14:textFill>
                  <w14:solidFill>
                    <w14:schemeClr w14:val="tx1"/>
                  </w14:solidFill>
                </w14:textFill>
              </w:rPr>
              <w:t>水泥制品制造</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项目，为建材类项目，与蓬溪县火车站工业聚居区“建材”产业定位相符，属于鼓励入园类项目。</w:t>
            </w:r>
          </w:p>
          <w:p w14:paraId="7FE1F93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4、与园区环境保护措施相关符合性分析</w:t>
            </w:r>
          </w:p>
          <w:p w14:paraId="4CD9AE0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与园区环境保护措施相关符合性分析见下表：</w:t>
            </w:r>
          </w:p>
          <w:p w14:paraId="0F36E042">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表1-</w:t>
            </w:r>
            <w:r>
              <w:rPr>
                <w:rFonts w:hint="eastAsia" w:ascii="Times New Roman" w:hAnsi="Times New Roman" w:eastAsia="宋体" w:cs="Times New Roman"/>
                <w:b/>
                <w:bCs/>
                <w:color w:val="000000" w:themeColor="text1"/>
                <w:kern w:val="0"/>
                <w:szCs w:val="21"/>
                <w:highlight w:val="none"/>
                <w:lang w:val="en-US" w:eastAsia="zh-CN"/>
                <w14:textFill>
                  <w14:solidFill>
                    <w14:schemeClr w14:val="tx1"/>
                  </w14:solidFill>
                </w14:textFill>
              </w:rPr>
              <w:t>2</w:t>
            </w:r>
            <w:r>
              <w:rPr>
                <w:rFonts w:hint="default" w:ascii="Times New Roman" w:hAnsi="Times New Roman" w:eastAsia="宋体" w:cs="Times New Roman"/>
                <w:b/>
                <w:bCs/>
                <w:color w:val="000000" w:themeColor="text1"/>
                <w:kern w:val="0"/>
                <w:szCs w:val="21"/>
                <w:highlight w:val="none"/>
                <w14:textFill>
                  <w14:solidFill>
                    <w14:schemeClr w14:val="tx1"/>
                  </w14:solidFill>
                </w14:textFill>
              </w:rPr>
              <w:t xml:space="preserve">    与园区环境保护措施相关符合性分析</w:t>
            </w:r>
          </w:p>
          <w:tbl>
            <w:tblPr>
              <w:tblStyle w:val="20"/>
              <w:tblW w:w="48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56"/>
              <w:gridCol w:w="2953"/>
              <w:gridCol w:w="2555"/>
              <w:gridCol w:w="676"/>
            </w:tblGrid>
            <w:tr w14:paraId="7AE6C6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6" w:type="dxa"/>
                  <w:tcBorders>
                    <w:tl2br w:val="nil"/>
                    <w:tr2bl w:val="nil"/>
                  </w:tcBorders>
                  <w:noWrap w:val="0"/>
                  <w:vAlign w:val="center"/>
                </w:tcPr>
                <w:p w14:paraId="612DB629">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eastAsia="等线"/>
                      <w:b/>
                      <w:bCs/>
                      <w:color w:val="000000" w:themeColor="text1"/>
                      <w:sz w:val="24"/>
                      <w:szCs w:val="24"/>
                      <w:highlight w:val="none"/>
                      <w:lang w:val="en-US" w:eastAsia="zh-CN"/>
                      <w14:textFill>
                        <w14:solidFill>
                          <w14:schemeClr w14:val="tx1"/>
                        </w14:solidFill>
                      </w14:textFill>
                    </w:rPr>
                  </w:pPr>
                  <w:r>
                    <w:rPr>
                      <w:rFonts w:hint="eastAsia" w:ascii="宋体" w:hAnsi="宋体" w:eastAsia="宋体"/>
                      <w:b/>
                      <w:bCs/>
                      <w:color w:val="000000" w:themeColor="text1"/>
                      <w:sz w:val="21"/>
                      <w:szCs w:val="24"/>
                      <w:highlight w:val="none"/>
                      <w:lang w:val="en-US" w:eastAsia="zh-CN"/>
                      <w14:textFill>
                        <w14:solidFill>
                          <w14:schemeClr w14:val="tx1"/>
                        </w14:solidFill>
                      </w14:textFill>
                    </w:rPr>
                    <w:t>项目</w:t>
                  </w:r>
                </w:p>
              </w:tc>
              <w:tc>
                <w:tcPr>
                  <w:tcW w:w="2953" w:type="dxa"/>
                  <w:tcBorders>
                    <w:tl2br w:val="nil"/>
                    <w:tr2bl w:val="nil"/>
                  </w:tcBorders>
                  <w:noWrap w:val="0"/>
                  <w:vAlign w:val="center"/>
                </w:tcPr>
                <w:p w14:paraId="6335F5CF">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b/>
                      <w:bCs/>
                      <w:color w:val="000000" w:themeColor="text1"/>
                      <w:sz w:val="24"/>
                      <w:szCs w:val="24"/>
                      <w:highlight w:val="none"/>
                      <w14:textFill>
                        <w14:solidFill>
                          <w14:schemeClr w14:val="tx1"/>
                        </w14:solidFill>
                      </w14:textFill>
                    </w:rPr>
                  </w:pPr>
                  <w:r>
                    <w:rPr>
                      <w:rFonts w:hint="eastAsia" w:ascii="宋体" w:hAnsi="宋体" w:eastAsia="宋体"/>
                      <w:b/>
                      <w:bCs/>
                      <w:color w:val="000000" w:themeColor="text1"/>
                      <w:sz w:val="21"/>
                      <w:szCs w:val="24"/>
                      <w:highlight w:val="none"/>
                      <w14:textFill>
                        <w14:solidFill>
                          <w14:schemeClr w14:val="tx1"/>
                        </w14:solidFill>
                      </w14:textFill>
                    </w:rPr>
                    <w:t>相关要求</w:t>
                  </w:r>
                </w:p>
              </w:tc>
              <w:tc>
                <w:tcPr>
                  <w:tcW w:w="2555" w:type="dxa"/>
                  <w:tcBorders>
                    <w:tl2br w:val="nil"/>
                    <w:tr2bl w:val="nil"/>
                  </w:tcBorders>
                  <w:noWrap w:val="0"/>
                  <w:vAlign w:val="center"/>
                </w:tcPr>
                <w:p w14:paraId="781726B3">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b/>
                      <w:bCs/>
                      <w:color w:val="000000" w:themeColor="text1"/>
                      <w:sz w:val="24"/>
                      <w:szCs w:val="24"/>
                      <w:highlight w:val="none"/>
                      <w14:textFill>
                        <w14:solidFill>
                          <w14:schemeClr w14:val="tx1"/>
                        </w14:solidFill>
                      </w14:textFill>
                    </w:rPr>
                  </w:pPr>
                  <w:r>
                    <w:rPr>
                      <w:rFonts w:hint="eastAsia" w:ascii="宋体" w:hAnsi="宋体" w:eastAsia="宋体"/>
                      <w:b/>
                      <w:bCs/>
                      <w:color w:val="000000" w:themeColor="text1"/>
                      <w:sz w:val="21"/>
                      <w:szCs w:val="24"/>
                      <w:highlight w:val="none"/>
                      <w14:textFill>
                        <w14:solidFill>
                          <w14:schemeClr w14:val="tx1"/>
                        </w14:solidFill>
                      </w14:textFill>
                    </w:rPr>
                    <w:t>本项目相关情况</w:t>
                  </w:r>
                </w:p>
              </w:tc>
              <w:tc>
                <w:tcPr>
                  <w:tcW w:w="676" w:type="dxa"/>
                  <w:tcBorders>
                    <w:tl2br w:val="nil"/>
                    <w:tr2bl w:val="nil"/>
                  </w:tcBorders>
                  <w:noWrap w:val="0"/>
                  <w:vAlign w:val="center"/>
                </w:tcPr>
                <w:p w14:paraId="15584512">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b/>
                      <w:bCs/>
                      <w:color w:val="000000" w:themeColor="text1"/>
                      <w:sz w:val="24"/>
                      <w:szCs w:val="24"/>
                      <w:highlight w:val="none"/>
                      <w14:textFill>
                        <w14:solidFill>
                          <w14:schemeClr w14:val="tx1"/>
                        </w14:solidFill>
                      </w14:textFill>
                    </w:rPr>
                  </w:pPr>
                  <w:r>
                    <w:rPr>
                      <w:rFonts w:hint="eastAsia" w:ascii="宋体" w:hAnsi="宋体" w:eastAsia="宋体"/>
                      <w:b/>
                      <w:bCs/>
                      <w:color w:val="000000" w:themeColor="text1"/>
                      <w:sz w:val="21"/>
                      <w:szCs w:val="24"/>
                      <w:highlight w:val="none"/>
                      <w14:textFill>
                        <w14:solidFill>
                          <w14:schemeClr w14:val="tx1"/>
                        </w14:solidFill>
                      </w14:textFill>
                    </w:rPr>
                    <w:t>符合性</w:t>
                  </w:r>
                </w:p>
              </w:tc>
            </w:tr>
            <w:tr w14:paraId="73663B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6" w:type="dxa"/>
                  <w:tcBorders>
                    <w:tl2br w:val="nil"/>
                    <w:tr2bl w:val="nil"/>
                  </w:tcBorders>
                  <w:noWrap w:val="0"/>
                  <w:vAlign w:val="center"/>
                </w:tcPr>
                <w:p w14:paraId="35AB9C8B">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水环境保护措施</w:t>
                  </w:r>
                </w:p>
              </w:tc>
              <w:tc>
                <w:tcPr>
                  <w:tcW w:w="2953" w:type="dxa"/>
                  <w:tcBorders>
                    <w:tl2br w:val="nil"/>
                    <w:tr2bl w:val="nil"/>
                  </w:tcBorders>
                  <w:noWrap w:val="0"/>
                  <w:vAlign w:val="center"/>
                </w:tcPr>
                <w:p w14:paraId="4EF642DF">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①实</w:t>
                  </w:r>
                  <w:r>
                    <w:rPr>
                      <w:rFonts w:hint="eastAsia" w:ascii="宋体" w:hAnsi="宋体" w:eastAsia="宋体"/>
                      <w:color w:val="000000" w:themeColor="text1"/>
                      <w:spacing w:val="-3"/>
                      <w:sz w:val="21"/>
                      <w:szCs w:val="24"/>
                      <w:highlight w:val="none"/>
                      <w14:textFill>
                        <w14:solidFill>
                          <w14:schemeClr w14:val="tx1"/>
                        </w14:solidFill>
                      </w14:textFill>
                    </w:rPr>
                    <w:t>施</w:t>
                  </w:r>
                  <w:r>
                    <w:rPr>
                      <w:rFonts w:hint="eastAsia" w:ascii="宋体" w:hAnsi="宋体" w:eastAsia="宋体"/>
                      <w:color w:val="000000" w:themeColor="text1"/>
                      <w:sz w:val="21"/>
                      <w:szCs w:val="24"/>
                      <w:highlight w:val="none"/>
                      <w14:textFill>
                        <w14:solidFill>
                          <w14:schemeClr w14:val="tx1"/>
                        </w14:solidFill>
                      </w14:textFill>
                    </w:rPr>
                    <w:t>雨</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分</w:t>
                  </w:r>
                  <w:r>
                    <w:rPr>
                      <w:rFonts w:hint="eastAsia" w:ascii="宋体" w:hAnsi="宋体" w:eastAsia="宋体"/>
                      <w:color w:val="000000" w:themeColor="text1"/>
                      <w:spacing w:val="-3"/>
                      <w:sz w:val="21"/>
                      <w:szCs w:val="24"/>
                      <w:highlight w:val="none"/>
                      <w14:textFill>
                        <w14:solidFill>
                          <w14:schemeClr w14:val="tx1"/>
                        </w14:solidFill>
                      </w14:textFill>
                    </w:rPr>
                    <w:t>流</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清</w:t>
                  </w:r>
                  <w:r>
                    <w:rPr>
                      <w:rFonts w:hint="eastAsia" w:ascii="宋体" w:hAnsi="宋体" w:eastAsia="宋体"/>
                      <w:color w:val="000000" w:themeColor="text1"/>
                      <w:sz w:val="21"/>
                      <w:szCs w:val="24"/>
                      <w:highlight w:val="none"/>
                      <w14:textFill>
                        <w14:solidFill>
                          <w14:schemeClr w14:val="tx1"/>
                        </w14:solidFill>
                      </w14:textFill>
                    </w:rPr>
                    <w:t>污</w:t>
                  </w:r>
                  <w:r>
                    <w:rPr>
                      <w:rFonts w:hint="eastAsia" w:ascii="宋体" w:hAnsi="宋体" w:eastAsia="宋体"/>
                      <w:color w:val="000000" w:themeColor="text1"/>
                      <w:spacing w:val="-3"/>
                      <w:sz w:val="21"/>
                      <w:szCs w:val="24"/>
                      <w:highlight w:val="none"/>
                      <w14:textFill>
                        <w14:solidFill>
                          <w14:schemeClr w14:val="tx1"/>
                        </w14:solidFill>
                      </w14:textFill>
                    </w:rPr>
                    <w:t>分</w:t>
                  </w:r>
                  <w:r>
                    <w:rPr>
                      <w:rFonts w:hint="eastAsia" w:ascii="宋体" w:hAnsi="宋体" w:eastAsia="宋体"/>
                      <w:color w:val="000000" w:themeColor="text1"/>
                      <w:sz w:val="21"/>
                      <w:szCs w:val="24"/>
                      <w:highlight w:val="none"/>
                      <w14:textFill>
                        <w14:solidFill>
                          <w14:schemeClr w14:val="tx1"/>
                        </w14:solidFill>
                      </w14:textFill>
                    </w:rPr>
                    <w:t>流制；</w:t>
                  </w:r>
                  <w:r>
                    <w:rPr>
                      <w:rFonts w:hint="eastAsia" w:ascii="宋体" w:hAnsi="宋体" w:eastAsia="宋体"/>
                      <w:color w:val="000000" w:themeColor="text1"/>
                      <w:spacing w:val="-3"/>
                      <w:sz w:val="21"/>
                      <w:szCs w:val="24"/>
                      <w:highlight w:val="none"/>
                      <w14:textFill>
                        <w14:solidFill>
                          <w14:schemeClr w14:val="tx1"/>
                        </w14:solidFill>
                      </w14:textFill>
                    </w:rPr>
                    <w:t>②</w:t>
                  </w:r>
                  <w:r>
                    <w:rPr>
                      <w:rFonts w:hint="eastAsia" w:ascii="宋体" w:hAnsi="宋体" w:eastAsia="宋体"/>
                      <w:color w:val="000000" w:themeColor="text1"/>
                      <w:sz w:val="21"/>
                      <w:szCs w:val="24"/>
                      <w:highlight w:val="none"/>
                      <w14:textFill>
                        <w14:solidFill>
                          <w14:schemeClr w14:val="tx1"/>
                        </w14:solidFill>
                      </w14:textFill>
                    </w:rPr>
                    <w:t>要</w:t>
                  </w:r>
                  <w:r>
                    <w:rPr>
                      <w:rFonts w:hint="eastAsia" w:ascii="宋体" w:hAnsi="宋体" w:eastAsia="宋体"/>
                      <w:color w:val="000000" w:themeColor="text1"/>
                      <w:spacing w:val="-3"/>
                      <w:sz w:val="21"/>
                      <w:szCs w:val="24"/>
                      <w:highlight w:val="none"/>
                      <w14:textFill>
                        <w14:solidFill>
                          <w14:schemeClr w14:val="tx1"/>
                        </w14:solidFill>
                      </w14:textFill>
                    </w:rPr>
                    <w:t>求</w:t>
                  </w:r>
                  <w:r>
                    <w:rPr>
                      <w:rFonts w:hint="eastAsia" w:ascii="宋体" w:hAnsi="宋体" w:eastAsia="宋体"/>
                      <w:color w:val="000000" w:themeColor="text1"/>
                      <w:sz w:val="21"/>
                      <w:szCs w:val="24"/>
                      <w:highlight w:val="none"/>
                      <w14:textFill>
                        <w14:solidFill>
                          <w14:schemeClr w14:val="tx1"/>
                        </w14:solidFill>
                      </w14:textFill>
                    </w:rPr>
                    <w:t>区</w:t>
                  </w:r>
                  <w:r>
                    <w:rPr>
                      <w:rFonts w:hint="eastAsia" w:ascii="宋体" w:hAnsi="宋体" w:eastAsia="宋体"/>
                      <w:color w:val="000000" w:themeColor="text1"/>
                      <w:spacing w:val="-3"/>
                      <w:sz w:val="21"/>
                      <w:szCs w:val="24"/>
                      <w:highlight w:val="none"/>
                      <w14:textFill>
                        <w14:solidFill>
                          <w14:schemeClr w14:val="tx1"/>
                        </w14:solidFill>
                      </w14:textFill>
                    </w:rPr>
                    <w:t>内</w:t>
                  </w:r>
                  <w:r>
                    <w:rPr>
                      <w:rFonts w:hint="eastAsia" w:ascii="宋体" w:hAnsi="宋体" w:eastAsia="宋体"/>
                      <w:color w:val="000000" w:themeColor="text1"/>
                      <w:sz w:val="21"/>
                      <w:szCs w:val="24"/>
                      <w:highlight w:val="none"/>
                      <w14:textFill>
                        <w14:solidFill>
                          <w14:schemeClr w14:val="tx1"/>
                        </w14:solidFill>
                      </w14:textFill>
                    </w:rPr>
                    <w:t>废</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14:textFill>
                        <w14:solidFill>
                          <w14:schemeClr w14:val="tx1"/>
                        </w14:solidFill>
                      </w14:textFill>
                    </w:rPr>
                    <w:t>最</w:t>
                  </w:r>
                  <w:r>
                    <w:rPr>
                      <w:rFonts w:hint="eastAsia" w:ascii="宋体" w:hAnsi="宋体" w:eastAsia="宋体"/>
                      <w:color w:val="000000" w:themeColor="text1"/>
                      <w:spacing w:val="-3"/>
                      <w:sz w:val="21"/>
                      <w:szCs w:val="24"/>
                      <w:highlight w:val="none"/>
                      <w14:textFill>
                        <w14:solidFill>
                          <w14:schemeClr w14:val="tx1"/>
                        </w14:solidFill>
                      </w14:textFill>
                    </w:rPr>
                    <w:t>终</w:t>
                  </w:r>
                  <w:r>
                    <w:rPr>
                      <w:rFonts w:hint="eastAsia" w:ascii="宋体" w:hAnsi="宋体" w:eastAsia="宋体"/>
                      <w:color w:val="000000" w:themeColor="text1"/>
                      <w:sz w:val="21"/>
                      <w:szCs w:val="24"/>
                      <w:highlight w:val="none"/>
                      <w14:textFill>
                        <w14:solidFill>
                          <w14:schemeClr w14:val="tx1"/>
                        </w14:solidFill>
                      </w14:textFill>
                    </w:rPr>
                    <w:t>均由统</w:t>
                  </w:r>
                  <w:r>
                    <w:rPr>
                      <w:rFonts w:hint="eastAsia" w:ascii="宋体" w:hAnsi="宋体" w:eastAsia="宋体"/>
                      <w:color w:val="000000" w:themeColor="text1"/>
                      <w:spacing w:val="-3"/>
                      <w:sz w:val="21"/>
                      <w:szCs w:val="24"/>
                      <w:highlight w:val="none"/>
                      <w14:textFill>
                        <w14:solidFill>
                          <w14:schemeClr w14:val="tx1"/>
                        </w14:solidFill>
                      </w14:textFill>
                    </w:rPr>
                    <w:t>一</w:t>
                  </w:r>
                  <w:r>
                    <w:rPr>
                      <w:rFonts w:hint="eastAsia" w:ascii="宋体" w:hAnsi="宋体" w:eastAsia="宋体"/>
                      <w:color w:val="000000" w:themeColor="text1"/>
                      <w:sz w:val="21"/>
                      <w:szCs w:val="24"/>
                      <w:highlight w:val="none"/>
                      <w14:textFill>
                        <w14:solidFill>
                          <w14:schemeClr w14:val="tx1"/>
                        </w14:solidFill>
                      </w14:textFill>
                    </w:rPr>
                    <w:t>排</w:t>
                  </w:r>
                  <w:r>
                    <w:rPr>
                      <w:rFonts w:hint="eastAsia" w:ascii="宋体" w:hAnsi="宋体" w:eastAsia="宋体"/>
                      <w:color w:val="000000" w:themeColor="text1"/>
                      <w:spacing w:val="-3"/>
                      <w:sz w:val="21"/>
                      <w:szCs w:val="24"/>
                      <w:highlight w:val="none"/>
                      <w14:textFill>
                        <w14:solidFill>
                          <w14:schemeClr w14:val="tx1"/>
                        </w14:solidFill>
                      </w14:textFill>
                    </w:rPr>
                    <w:t>口</w:t>
                  </w:r>
                  <w:r>
                    <w:rPr>
                      <w:rFonts w:hint="eastAsia" w:ascii="宋体" w:hAnsi="宋体" w:eastAsia="宋体"/>
                      <w:color w:val="000000" w:themeColor="text1"/>
                      <w:sz w:val="21"/>
                      <w:szCs w:val="24"/>
                      <w:highlight w:val="none"/>
                      <w14:textFill>
                        <w14:solidFill>
                          <w14:schemeClr w14:val="tx1"/>
                        </w14:solidFill>
                      </w14:textFill>
                    </w:rPr>
                    <w:t>排</w:t>
                  </w:r>
                  <w:r>
                    <w:rPr>
                      <w:rFonts w:hint="eastAsia" w:ascii="宋体" w:hAnsi="宋体" w:eastAsia="宋体"/>
                      <w:color w:val="000000" w:themeColor="text1"/>
                      <w:spacing w:val="-3"/>
                      <w:sz w:val="21"/>
                      <w:szCs w:val="24"/>
                      <w:highlight w:val="none"/>
                      <w14:textFill>
                        <w14:solidFill>
                          <w14:schemeClr w14:val="tx1"/>
                        </w14:solidFill>
                      </w14:textFill>
                    </w:rPr>
                    <w:t>放</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加</w:t>
                  </w:r>
                  <w:r>
                    <w:rPr>
                      <w:rFonts w:hint="eastAsia" w:ascii="宋体" w:hAnsi="宋体" w:eastAsia="宋体"/>
                      <w:color w:val="000000" w:themeColor="text1"/>
                      <w:sz w:val="21"/>
                      <w:szCs w:val="24"/>
                      <w:highlight w:val="none"/>
                      <w14:textFill>
                        <w14:solidFill>
                          <w14:schemeClr w14:val="tx1"/>
                        </w14:solidFill>
                      </w14:textFill>
                    </w:rPr>
                    <w:t>快</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水处理</w:t>
                  </w:r>
                  <w:r>
                    <w:rPr>
                      <w:rFonts w:hint="eastAsia" w:ascii="宋体" w:hAnsi="宋体" w:eastAsia="宋体"/>
                      <w:color w:val="000000" w:themeColor="text1"/>
                      <w:spacing w:val="-3"/>
                      <w:sz w:val="21"/>
                      <w:szCs w:val="24"/>
                      <w:highlight w:val="none"/>
                      <w14:textFill>
                        <w14:solidFill>
                          <w14:schemeClr w14:val="tx1"/>
                        </w14:solidFill>
                      </w14:textFill>
                    </w:rPr>
                    <w:t>厂</w:t>
                  </w:r>
                  <w:r>
                    <w:rPr>
                      <w:rFonts w:hint="eastAsia" w:ascii="宋体" w:hAnsi="宋体" w:eastAsia="宋体"/>
                      <w:color w:val="000000" w:themeColor="text1"/>
                      <w:sz w:val="21"/>
                      <w:szCs w:val="24"/>
                      <w:highlight w:val="none"/>
                      <w14:textFill>
                        <w14:solidFill>
                          <w14:schemeClr w14:val="tx1"/>
                        </w14:solidFill>
                      </w14:textFill>
                    </w:rPr>
                    <w:t>及</w:t>
                  </w:r>
                  <w:r>
                    <w:rPr>
                      <w:rFonts w:hint="eastAsia" w:ascii="宋体" w:hAnsi="宋体" w:eastAsia="宋体"/>
                      <w:color w:val="000000" w:themeColor="text1"/>
                      <w:spacing w:val="-3"/>
                      <w:sz w:val="21"/>
                      <w:szCs w:val="24"/>
                      <w:highlight w:val="none"/>
                      <w14:textFill>
                        <w14:solidFill>
                          <w14:schemeClr w14:val="tx1"/>
                        </w14:solidFill>
                      </w14:textFill>
                    </w:rPr>
                    <w:t>配</w:t>
                  </w:r>
                  <w:r>
                    <w:rPr>
                      <w:rFonts w:hint="eastAsia" w:ascii="宋体" w:hAnsi="宋体" w:eastAsia="宋体"/>
                      <w:color w:val="000000" w:themeColor="text1"/>
                      <w:sz w:val="21"/>
                      <w:szCs w:val="24"/>
                      <w:highlight w:val="none"/>
                      <w14:textFill>
                        <w14:solidFill>
                          <w14:schemeClr w14:val="tx1"/>
                        </w14:solidFill>
                      </w14:textFill>
                    </w:rPr>
                    <w:t>套</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水</w:t>
                  </w:r>
                  <w:r>
                    <w:rPr>
                      <w:rFonts w:hint="eastAsia" w:ascii="宋体" w:hAnsi="宋体" w:eastAsia="宋体"/>
                      <w:color w:val="000000" w:themeColor="text1"/>
                      <w:spacing w:val="-3"/>
                      <w:sz w:val="21"/>
                      <w:szCs w:val="24"/>
                      <w:highlight w:val="none"/>
                      <w14:textFill>
                        <w14:solidFill>
                          <w14:schemeClr w14:val="tx1"/>
                        </w14:solidFill>
                      </w14:textFill>
                    </w:rPr>
                    <w:t>管</w:t>
                  </w:r>
                  <w:r>
                    <w:rPr>
                      <w:rFonts w:hint="eastAsia" w:ascii="宋体" w:hAnsi="宋体" w:eastAsia="宋体"/>
                      <w:color w:val="000000" w:themeColor="text1"/>
                      <w:sz w:val="21"/>
                      <w:szCs w:val="24"/>
                      <w:highlight w:val="none"/>
                      <w14:textFill>
                        <w14:solidFill>
                          <w14:schemeClr w14:val="tx1"/>
                        </w14:solidFill>
                      </w14:textFill>
                    </w:rPr>
                    <w:t>网</w:t>
                  </w:r>
                  <w:r>
                    <w:rPr>
                      <w:rFonts w:hint="eastAsia" w:ascii="宋体" w:hAnsi="宋体" w:eastAsia="宋体"/>
                      <w:color w:val="000000" w:themeColor="text1"/>
                      <w:spacing w:val="-3"/>
                      <w:sz w:val="21"/>
                      <w:szCs w:val="24"/>
                      <w:highlight w:val="none"/>
                      <w14:textFill>
                        <w14:solidFill>
                          <w14:schemeClr w14:val="tx1"/>
                        </w14:solidFill>
                      </w14:textFill>
                    </w:rPr>
                    <w:t>的</w:t>
                  </w:r>
                  <w:r>
                    <w:rPr>
                      <w:rFonts w:hint="eastAsia" w:ascii="宋体" w:hAnsi="宋体" w:eastAsia="宋体"/>
                      <w:color w:val="000000" w:themeColor="text1"/>
                      <w:sz w:val="21"/>
                      <w:szCs w:val="24"/>
                      <w:highlight w:val="none"/>
                      <w14:textFill>
                        <w14:solidFill>
                          <w14:schemeClr w14:val="tx1"/>
                        </w14:solidFill>
                      </w14:textFill>
                    </w:rPr>
                    <w:t>同步建</w:t>
                  </w:r>
                  <w:r>
                    <w:rPr>
                      <w:rFonts w:hint="eastAsia" w:ascii="宋体" w:hAnsi="宋体" w:eastAsia="宋体"/>
                      <w:color w:val="000000" w:themeColor="text1"/>
                      <w:spacing w:val="-3"/>
                      <w:sz w:val="21"/>
                      <w:szCs w:val="24"/>
                      <w:highlight w:val="none"/>
                      <w14:textFill>
                        <w14:solidFill>
                          <w14:schemeClr w14:val="tx1"/>
                        </w14:solidFill>
                      </w14:textFill>
                    </w:rPr>
                    <w:t>设</w:t>
                  </w:r>
                  <w:r>
                    <w:rPr>
                      <w:rFonts w:hint="eastAsia" w:ascii="宋体" w:hAnsi="宋体" w:eastAsia="宋体"/>
                      <w:color w:val="000000" w:themeColor="text1"/>
                      <w:sz w:val="21"/>
                      <w:szCs w:val="24"/>
                      <w:highlight w:val="none"/>
                      <w14:textFill>
                        <w14:solidFill>
                          <w14:schemeClr w14:val="tx1"/>
                        </w14:solidFill>
                      </w14:textFill>
                    </w:rPr>
                    <w:t>进</w:t>
                  </w:r>
                  <w:r>
                    <w:rPr>
                      <w:rFonts w:hint="eastAsia" w:ascii="宋体" w:hAnsi="宋体" w:eastAsia="宋体"/>
                      <w:color w:val="000000" w:themeColor="text1"/>
                      <w:spacing w:val="-3"/>
                      <w:sz w:val="21"/>
                      <w:szCs w:val="24"/>
                      <w:highlight w:val="none"/>
                      <w14:textFill>
                        <w14:solidFill>
                          <w14:schemeClr w14:val="tx1"/>
                        </w14:solidFill>
                      </w14:textFill>
                    </w:rPr>
                    <w:t>度</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水</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pacing w:val="-3"/>
                      <w:sz w:val="21"/>
                      <w:szCs w:val="24"/>
                      <w:highlight w:val="none"/>
                      <w14:textFill>
                        <w14:solidFill>
                          <w14:schemeClr w14:val="tx1"/>
                        </w14:solidFill>
                      </w14:textFill>
                    </w:rPr>
                    <w:t>厂</w:t>
                  </w:r>
                  <w:r>
                    <w:rPr>
                      <w:rFonts w:hint="eastAsia" w:ascii="宋体" w:hAnsi="宋体" w:eastAsia="宋体"/>
                      <w:color w:val="000000" w:themeColor="text1"/>
                      <w:sz w:val="21"/>
                      <w:szCs w:val="24"/>
                      <w:highlight w:val="none"/>
                      <w14:textFill>
                        <w14:solidFill>
                          <w14:schemeClr w14:val="tx1"/>
                        </w14:solidFill>
                      </w14:textFill>
                    </w:rPr>
                    <w:t>建成之</w:t>
                  </w:r>
                  <w:r>
                    <w:rPr>
                      <w:rFonts w:hint="eastAsia" w:ascii="宋体" w:hAnsi="宋体" w:eastAsia="宋体"/>
                      <w:color w:val="000000" w:themeColor="text1"/>
                      <w:spacing w:val="-3"/>
                      <w:sz w:val="21"/>
                      <w:szCs w:val="24"/>
                      <w:highlight w:val="none"/>
                      <w14:textFill>
                        <w14:solidFill>
                          <w14:schemeClr w14:val="tx1"/>
                        </w14:solidFill>
                      </w14:textFill>
                    </w:rPr>
                    <w:t>前</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禁</w:t>
                  </w:r>
                  <w:r>
                    <w:rPr>
                      <w:rFonts w:hint="eastAsia" w:ascii="宋体" w:hAnsi="宋体" w:eastAsia="宋体"/>
                      <w:color w:val="000000" w:themeColor="text1"/>
                      <w:sz w:val="21"/>
                      <w:szCs w:val="24"/>
                      <w:highlight w:val="none"/>
                      <w14:textFill>
                        <w14:solidFill>
                          <w14:schemeClr w14:val="tx1"/>
                        </w14:solidFill>
                      </w14:textFill>
                    </w:rPr>
                    <w:t>止</w:t>
                  </w:r>
                  <w:r>
                    <w:rPr>
                      <w:rFonts w:hint="eastAsia" w:ascii="宋体" w:hAnsi="宋体" w:eastAsia="宋体"/>
                      <w:color w:val="000000" w:themeColor="text1"/>
                      <w:spacing w:val="-3"/>
                      <w:sz w:val="21"/>
                      <w:szCs w:val="24"/>
                      <w:highlight w:val="none"/>
                      <w14:textFill>
                        <w14:solidFill>
                          <w14:schemeClr w14:val="tx1"/>
                        </w14:solidFill>
                      </w14:textFill>
                    </w:rPr>
                    <w:t>新</w:t>
                  </w:r>
                  <w:r>
                    <w:rPr>
                      <w:rFonts w:hint="eastAsia" w:ascii="宋体" w:hAnsi="宋体" w:eastAsia="宋体"/>
                      <w:color w:val="000000" w:themeColor="text1"/>
                      <w:sz w:val="21"/>
                      <w:szCs w:val="24"/>
                      <w:highlight w:val="none"/>
                      <w14:textFill>
                        <w14:solidFill>
                          <w14:schemeClr w14:val="tx1"/>
                        </w14:solidFill>
                      </w14:textFill>
                    </w:rPr>
                    <w:t>引</w:t>
                  </w:r>
                  <w:r>
                    <w:rPr>
                      <w:rFonts w:hint="eastAsia" w:ascii="宋体" w:hAnsi="宋体" w:eastAsia="宋体"/>
                      <w:color w:val="000000" w:themeColor="text1"/>
                      <w:spacing w:val="-3"/>
                      <w:sz w:val="21"/>
                      <w:szCs w:val="24"/>
                      <w:highlight w:val="none"/>
                      <w14:textFill>
                        <w14:solidFill>
                          <w14:schemeClr w14:val="tx1"/>
                        </w14:solidFill>
                      </w14:textFill>
                    </w:rPr>
                    <w:t>入</w:t>
                  </w:r>
                  <w:r>
                    <w:rPr>
                      <w:rFonts w:hint="eastAsia" w:ascii="宋体" w:hAnsi="宋体" w:eastAsia="宋体"/>
                      <w:color w:val="000000" w:themeColor="text1"/>
                      <w:sz w:val="21"/>
                      <w:szCs w:val="24"/>
                      <w:highlight w:val="none"/>
                      <w14:textFill>
                        <w14:solidFill>
                          <w14:schemeClr w14:val="tx1"/>
                        </w14:solidFill>
                      </w14:textFill>
                    </w:rPr>
                    <w:t>增</w:t>
                  </w:r>
                  <w:r>
                    <w:rPr>
                      <w:rFonts w:hint="eastAsia" w:ascii="宋体" w:hAnsi="宋体" w:eastAsia="宋体"/>
                      <w:color w:val="000000" w:themeColor="text1"/>
                      <w:spacing w:val="-3"/>
                      <w:sz w:val="21"/>
                      <w:szCs w:val="24"/>
                      <w:highlight w:val="none"/>
                      <w14:textFill>
                        <w14:solidFill>
                          <w14:schemeClr w14:val="tx1"/>
                        </w14:solidFill>
                      </w14:textFill>
                    </w:rPr>
                    <w:t>加</w:t>
                  </w:r>
                  <w:r>
                    <w:rPr>
                      <w:rFonts w:hint="eastAsia" w:ascii="宋体" w:hAnsi="宋体" w:eastAsia="宋体"/>
                      <w:color w:val="000000" w:themeColor="text1"/>
                      <w:sz w:val="21"/>
                      <w:szCs w:val="24"/>
                      <w:highlight w:val="none"/>
                      <w14:textFill>
                        <w14:solidFill>
                          <w14:schemeClr w14:val="tx1"/>
                        </w14:solidFill>
                      </w14:textFill>
                    </w:rPr>
                    <w:t>水污染</w:t>
                  </w:r>
                  <w:r>
                    <w:rPr>
                      <w:rFonts w:hint="eastAsia" w:ascii="宋体" w:hAnsi="宋体" w:eastAsia="宋体"/>
                      <w:color w:val="000000" w:themeColor="text1"/>
                      <w:spacing w:val="-3"/>
                      <w:sz w:val="21"/>
                      <w:szCs w:val="24"/>
                      <w:highlight w:val="none"/>
                      <w14:textFill>
                        <w14:solidFill>
                          <w14:schemeClr w14:val="tx1"/>
                        </w14:solidFill>
                      </w14:textFill>
                    </w:rPr>
                    <w:t>物</w:t>
                  </w:r>
                  <w:r>
                    <w:rPr>
                      <w:rFonts w:hint="eastAsia" w:ascii="宋体" w:hAnsi="宋体" w:eastAsia="宋体"/>
                      <w:color w:val="000000" w:themeColor="text1"/>
                      <w:sz w:val="21"/>
                      <w:szCs w:val="24"/>
                      <w:highlight w:val="none"/>
                      <w14:textFill>
                        <w14:solidFill>
                          <w14:schemeClr w14:val="tx1"/>
                        </w14:solidFill>
                      </w14:textFill>
                    </w:rPr>
                    <w:t>排</w:t>
                  </w:r>
                  <w:r>
                    <w:rPr>
                      <w:rFonts w:hint="eastAsia" w:ascii="宋体" w:hAnsi="宋体" w:eastAsia="宋体"/>
                      <w:color w:val="000000" w:themeColor="text1"/>
                      <w:spacing w:val="-3"/>
                      <w:sz w:val="21"/>
                      <w:szCs w:val="24"/>
                      <w:highlight w:val="none"/>
                      <w14:textFill>
                        <w14:solidFill>
                          <w14:schemeClr w14:val="tx1"/>
                        </w14:solidFill>
                      </w14:textFill>
                    </w:rPr>
                    <w:t>放</w:t>
                  </w:r>
                  <w:r>
                    <w:rPr>
                      <w:rFonts w:hint="eastAsia" w:ascii="宋体" w:hAnsi="宋体" w:eastAsia="宋体"/>
                      <w:color w:val="000000" w:themeColor="text1"/>
                      <w:sz w:val="21"/>
                      <w:szCs w:val="24"/>
                      <w:highlight w:val="none"/>
                      <w14:textFill>
                        <w14:solidFill>
                          <w14:schemeClr w14:val="tx1"/>
                        </w14:solidFill>
                      </w14:textFill>
                    </w:rPr>
                    <w:t>的</w:t>
                  </w:r>
                  <w:r>
                    <w:rPr>
                      <w:rFonts w:hint="eastAsia" w:ascii="宋体" w:hAnsi="宋体" w:eastAsia="宋体"/>
                      <w:color w:val="000000" w:themeColor="text1"/>
                      <w:spacing w:val="-3"/>
                      <w:sz w:val="21"/>
                      <w:szCs w:val="24"/>
                      <w:highlight w:val="none"/>
                      <w14:textFill>
                        <w14:solidFill>
                          <w14:schemeClr w14:val="tx1"/>
                        </w14:solidFill>
                      </w14:textFill>
                    </w:rPr>
                    <w:t>建</w:t>
                  </w:r>
                  <w:r>
                    <w:rPr>
                      <w:rFonts w:hint="eastAsia" w:ascii="宋体" w:hAnsi="宋体" w:eastAsia="宋体"/>
                      <w:color w:val="000000" w:themeColor="text1"/>
                      <w:sz w:val="21"/>
                      <w:szCs w:val="24"/>
                      <w:highlight w:val="none"/>
                      <w14:textFill>
                        <w14:solidFill>
                          <w14:schemeClr w14:val="tx1"/>
                        </w14:solidFill>
                      </w14:textFill>
                    </w:rPr>
                    <w:t>设</w:t>
                  </w:r>
                  <w:r>
                    <w:rPr>
                      <w:rFonts w:hint="eastAsia" w:ascii="宋体" w:hAnsi="宋体" w:eastAsia="宋体"/>
                      <w:color w:val="000000" w:themeColor="text1"/>
                      <w:spacing w:val="-3"/>
                      <w:sz w:val="21"/>
                      <w:szCs w:val="24"/>
                      <w:highlight w:val="none"/>
                      <w14:textFill>
                        <w14:solidFill>
                          <w14:schemeClr w14:val="tx1"/>
                        </w14:solidFill>
                      </w14:textFill>
                    </w:rPr>
                    <w:t>项</w:t>
                  </w:r>
                  <w:r>
                    <w:rPr>
                      <w:rFonts w:hint="eastAsia" w:ascii="宋体" w:hAnsi="宋体" w:eastAsia="宋体"/>
                      <w:color w:val="000000" w:themeColor="text1"/>
                      <w:sz w:val="21"/>
                      <w:szCs w:val="24"/>
                      <w:highlight w:val="none"/>
                      <w14:textFill>
                        <w14:solidFill>
                          <w14:schemeClr w14:val="tx1"/>
                        </w14:solidFill>
                      </w14:textFill>
                    </w:rPr>
                    <w:t>目</w:t>
                  </w:r>
                  <w:r>
                    <w:rPr>
                      <w:rFonts w:hint="eastAsia" w:ascii="宋体" w:hAnsi="宋体" w:eastAsia="宋体"/>
                      <w:color w:val="000000" w:themeColor="text1"/>
                      <w:spacing w:val="-3"/>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待污水</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pacing w:val="-3"/>
                      <w:sz w:val="21"/>
                      <w:szCs w:val="24"/>
                      <w:highlight w:val="none"/>
                      <w14:textFill>
                        <w14:solidFill>
                          <w14:schemeClr w14:val="tx1"/>
                        </w14:solidFill>
                      </w14:textFill>
                    </w:rPr>
                    <w:t>厂</w:t>
                  </w:r>
                  <w:r>
                    <w:rPr>
                      <w:rFonts w:hint="eastAsia" w:ascii="宋体" w:hAnsi="宋体" w:eastAsia="宋体"/>
                      <w:color w:val="000000" w:themeColor="text1"/>
                      <w:sz w:val="21"/>
                      <w:szCs w:val="24"/>
                      <w:highlight w:val="none"/>
                      <w14:textFill>
                        <w14:solidFill>
                          <w14:schemeClr w14:val="tx1"/>
                        </w14:solidFill>
                      </w14:textFill>
                    </w:rPr>
                    <w:t>建</w:t>
                  </w:r>
                  <w:r>
                    <w:rPr>
                      <w:rFonts w:hint="eastAsia" w:ascii="宋体" w:hAnsi="宋体" w:eastAsia="宋体"/>
                      <w:color w:val="000000" w:themeColor="text1"/>
                      <w:spacing w:val="-3"/>
                      <w:sz w:val="21"/>
                      <w:szCs w:val="24"/>
                      <w:highlight w:val="none"/>
                      <w14:textFill>
                        <w14:solidFill>
                          <w14:schemeClr w14:val="tx1"/>
                        </w14:solidFill>
                      </w14:textFill>
                    </w:rPr>
                    <w:t>成</w:t>
                  </w:r>
                  <w:r>
                    <w:rPr>
                      <w:rFonts w:hint="eastAsia" w:ascii="宋体" w:hAnsi="宋体" w:eastAsia="宋体"/>
                      <w:color w:val="000000" w:themeColor="text1"/>
                      <w:sz w:val="21"/>
                      <w:szCs w:val="24"/>
                      <w:highlight w:val="none"/>
                      <w14:textFill>
                        <w14:solidFill>
                          <w14:schemeClr w14:val="tx1"/>
                        </w14:solidFill>
                      </w14:textFill>
                    </w:rPr>
                    <w:t>运</w:t>
                  </w:r>
                  <w:r>
                    <w:rPr>
                      <w:rFonts w:hint="eastAsia" w:ascii="宋体" w:hAnsi="宋体" w:eastAsia="宋体"/>
                      <w:color w:val="000000" w:themeColor="text1"/>
                      <w:spacing w:val="-3"/>
                      <w:sz w:val="21"/>
                      <w:szCs w:val="24"/>
                      <w:highlight w:val="none"/>
                      <w14:textFill>
                        <w14:solidFill>
                          <w14:schemeClr w14:val="tx1"/>
                        </w14:solidFill>
                      </w14:textFill>
                    </w:rPr>
                    <w:t>行</w:t>
                  </w:r>
                  <w:r>
                    <w:rPr>
                      <w:rFonts w:hint="eastAsia" w:ascii="宋体" w:hAnsi="宋体" w:eastAsia="宋体"/>
                      <w:color w:val="000000" w:themeColor="text1"/>
                      <w:sz w:val="21"/>
                      <w:szCs w:val="24"/>
                      <w:highlight w:val="none"/>
                      <w14:textFill>
                        <w14:solidFill>
                          <w14:schemeClr w14:val="tx1"/>
                        </w14:solidFill>
                      </w14:textFill>
                    </w:rPr>
                    <w:t>后</w:t>
                  </w:r>
                  <w:r>
                    <w:rPr>
                      <w:rFonts w:hint="eastAsia" w:ascii="宋体" w:hAnsi="宋体" w:eastAsia="宋体"/>
                      <w:color w:val="000000" w:themeColor="text1"/>
                      <w:spacing w:val="-3"/>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企业废</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14:textFill>
                        <w14:solidFill>
                          <w14:schemeClr w14:val="tx1"/>
                        </w14:solidFill>
                      </w14:textFill>
                    </w:rPr>
                    <w:t>须</w:t>
                  </w:r>
                  <w:r>
                    <w:rPr>
                      <w:rFonts w:hint="eastAsia" w:ascii="宋体" w:hAnsi="宋体" w:eastAsia="宋体"/>
                      <w:color w:val="000000" w:themeColor="text1"/>
                      <w:spacing w:val="-3"/>
                      <w:sz w:val="21"/>
                      <w:szCs w:val="24"/>
                      <w:highlight w:val="none"/>
                      <w14:textFill>
                        <w14:solidFill>
                          <w14:schemeClr w14:val="tx1"/>
                        </w14:solidFill>
                      </w14:textFill>
                    </w:rPr>
                    <w:t>经</w:t>
                  </w:r>
                  <w:r>
                    <w:rPr>
                      <w:rFonts w:hint="eastAsia" w:ascii="宋体" w:hAnsi="宋体" w:eastAsia="宋体"/>
                      <w:color w:val="000000" w:themeColor="text1"/>
                      <w:sz w:val="21"/>
                      <w:szCs w:val="24"/>
                      <w:highlight w:val="none"/>
                      <w14:textFill>
                        <w14:solidFill>
                          <w14:schemeClr w14:val="tx1"/>
                        </w14:solidFill>
                      </w14:textFill>
                    </w:rPr>
                    <w:t>预</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pacing w:val="-3"/>
                      <w:sz w:val="21"/>
                      <w:szCs w:val="24"/>
                      <w:highlight w:val="none"/>
                      <w14:textFill>
                        <w14:solidFill>
                          <w14:schemeClr w14:val="tx1"/>
                        </w14:solidFill>
                      </w14:textFill>
                    </w:rPr>
                    <w:t>满</w:t>
                  </w:r>
                  <w:r>
                    <w:rPr>
                      <w:rFonts w:hint="eastAsia" w:ascii="宋体" w:hAnsi="宋体" w:eastAsia="宋体"/>
                      <w:color w:val="000000" w:themeColor="text1"/>
                      <w:sz w:val="21"/>
                      <w:szCs w:val="24"/>
                      <w:highlight w:val="none"/>
                      <w14:textFill>
                        <w14:solidFill>
                          <w14:schemeClr w14:val="tx1"/>
                        </w14:solidFill>
                      </w14:textFill>
                    </w:rPr>
                    <w:t>足</w:t>
                  </w:r>
                  <w:r>
                    <w:rPr>
                      <w:rFonts w:hint="eastAsia" w:ascii="宋体" w:hAnsi="宋体" w:eastAsia="宋体"/>
                      <w:color w:val="000000" w:themeColor="text1"/>
                      <w:spacing w:val="-3"/>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污水综</w:t>
                  </w:r>
                  <w:r>
                    <w:rPr>
                      <w:rFonts w:hint="eastAsia" w:ascii="宋体" w:hAnsi="宋体" w:eastAsia="宋体"/>
                      <w:color w:val="000000" w:themeColor="text1"/>
                      <w:spacing w:val="-3"/>
                      <w:sz w:val="21"/>
                      <w:szCs w:val="24"/>
                      <w:highlight w:val="none"/>
                      <w14:textFill>
                        <w14:solidFill>
                          <w14:schemeClr w14:val="tx1"/>
                        </w14:solidFill>
                      </w14:textFill>
                    </w:rPr>
                    <w:t>合</w:t>
                  </w:r>
                  <w:r>
                    <w:rPr>
                      <w:rFonts w:hint="eastAsia" w:ascii="宋体" w:hAnsi="宋体" w:eastAsia="宋体"/>
                      <w:color w:val="000000" w:themeColor="text1"/>
                      <w:sz w:val="21"/>
                      <w:szCs w:val="24"/>
                      <w:highlight w:val="none"/>
                      <w14:textFill>
                        <w14:solidFill>
                          <w14:schemeClr w14:val="tx1"/>
                        </w14:solidFill>
                      </w14:textFill>
                    </w:rPr>
                    <w:t>排</w:t>
                  </w:r>
                  <w:r>
                    <w:rPr>
                      <w:rFonts w:hint="eastAsia" w:ascii="宋体" w:hAnsi="宋体" w:eastAsia="宋体"/>
                      <w:color w:val="000000" w:themeColor="text1"/>
                      <w:spacing w:val="-3"/>
                      <w:sz w:val="21"/>
                      <w:szCs w:val="24"/>
                      <w:highlight w:val="none"/>
                      <w14:textFill>
                        <w14:solidFill>
                          <w14:schemeClr w14:val="tx1"/>
                        </w14:solidFill>
                      </w14:textFill>
                    </w:rPr>
                    <w:t>放</w:t>
                  </w:r>
                  <w:r>
                    <w:rPr>
                      <w:rFonts w:hint="eastAsia" w:ascii="宋体" w:hAnsi="宋体" w:eastAsia="宋体"/>
                      <w:color w:val="000000" w:themeColor="text1"/>
                      <w:sz w:val="21"/>
                      <w:szCs w:val="24"/>
                      <w:highlight w:val="none"/>
                      <w14:textFill>
                        <w14:solidFill>
                          <w14:schemeClr w14:val="tx1"/>
                        </w14:solidFill>
                      </w14:textFill>
                    </w:rPr>
                    <w:t>标</w:t>
                  </w:r>
                  <w:r>
                    <w:rPr>
                      <w:rFonts w:hint="eastAsia" w:ascii="宋体" w:hAnsi="宋体" w:eastAsia="宋体"/>
                      <w:color w:val="000000" w:themeColor="text1"/>
                      <w:spacing w:val="-3"/>
                      <w:sz w:val="21"/>
                      <w:szCs w:val="24"/>
                      <w:highlight w:val="none"/>
                      <w14:textFill>
                        <w14:solidFill>
                          <w14:schemeClr w14:val="tx1"/>
                        </w14:solidFill>
                      </w14:textFill>
                    </w:rPr>
                    <w:t>准</w:t>
                  </w:r>
                  <w:r>
                    <w:rPr>
                      <w:rFonts w:hint="eastAsia" w:ascii="宋体" w:hAnsi="宋体" w:eastAsia="宋体"/>
                      <w:color w:val="000000" w:themeColor="text1"/>
                      <w:sz w:val="21"/>
                      <w:szCs w:val="24"/>
                      <w:highlight w:val="none"/>
                      <w14:textFill>
                        <w14:solidFill>
                          <w14:schemeClr w14:val="tx1"/>
                        </w14:solidFill>
                      </w14:textFill>
                    </w:rPr>
                    <w:t>》（</w:t>
                  </w:r>
                  <w:r>
                    <w:rPr>
                      <w:rFonts w:hint="default" w:ascii="Times New Roman" w:hAnsi="Times New Roman" w:eastAsia="Times New Roman"/>
                      <w:color w:val="000000" w:themeColor="text1"/>
                      <w:spacing w:val="-2"/>
                      <w:sz w:val="21"/>
                      <w:szCs w:val="24"/>
                      <w:highlight w:val="none"/>
                      <w14:textFill>
                        <w14:solidFill>
                          <w14:schemeClr w14:val="tx1"/>
                        </w14:solidFill>
                      </w14:textFill>
                    </w:rPr>
                    <w:t>G</w:t>
                  </w:r>
                  <w:r>
                    <w:rPr>
                      <w:rFonts w:hint="default" w:ascii="Times New Roman" w:hAnsi="Times New Roman" w:eastAsia="Times New Roman"/>
                      <w:color w:val="000000" w:themeColor="text1"/>
                      <w:sz w:val="21"/>
                      <w:szCs w:val="24"/>
                      <w:highlight w:val="none"/>
                      <w14:textFill>
                        <w14:solidFill>
                          <w14:schemeClr w14:val="tx1"/>
                        </w14:solidFill>
                      </w14:textFill>
                    </w:rPr>
                    <w:t>B8</w:t>
                  </w:r>
                  <w:r>
                    <w:rPr>
                      <w:rFonts w:hint="default" w:ascii="Times New Roman" w:hAnsi="Times New Roman" w:eastAsia="Times New Roman"/>
                      <w:color w:val="000000" w:themeColor="text1"/>
                      <w:spacing w:val="-3"/>
                      <w:sz w:val="21"/>
                      <w:szCs w:val="24"/>
                      <w:highlight w:val="none"/>
                      <w14:textFill>
                        <w14:solidFill>
                          <w14:schemeClr w14:val="tx1"/>
                        </w14:solidFill>
                      </w14:textFill>
                    </w:rPr>
                    <w:t>9</w:t>
                  </w:r>
                  <w:r>
                    <w:rPr>
                      <w:rFonts w:hint="default" w:ascii="Times New Roman" w:hAnsi="Times New Roman" w:eastAsia="Times New Roman"/>
                      <w:color w:val="000000" w:themeColor="text1"/>
                      <w:sz w:val="21"/>
                      <w:szCs w:val="24"/>
                      <w:highlight w:val="none"/>
                      <w14:textFill>
                        <w14:solidFill>
                          <w14:schemeClr w14:val="tx1"/>
                        </w14:solidFill>
                      </w14:textFill>
                    </w:rPr>
                    <w:t>78</w:t>
                  </w:r>
                  <w:r>
                    <w:rPr>
                      <w:rFonts w:hint="default" w:ascii="Times New Roman" w:hAnsi="Times New Roman" w:eastAsia="Times New Roman"/>
                      <w:color w:val="000000" w:themeColor="text1"/>
                      <w:spacing w:val="-4"/>
                      <w:sz w:val="21"/>
                      <w:szCs w:val="24"/>
                      <w:highlight w:val="none"/>
                      <w14:textFill>
                        <w14:solidFill>
                          <w14:schemeClr w14:val="tx1"/>
                        </w14:solidFill>
                      </w14:textFill>
                    </w:rPr>
                    <w:t>-</w:t>
                  </w:r>
                  <w:r>
                    <w:rPr>
                      <w:rFonts w:hint="default" w:ascii="Times New Roman" w:hAnsi="Times New Roman" w:eastAsia="Times New Roman"/>
                      <w:color w:val="000000" w:themeColor="text1"/>
                      <w:sz w:val="21"/>
                      <w:szCs w:val="24"/>
                      <w:highlight w:val="none"/>
                      <w14:textFill>
                        <w14:solidFill>
                          <w14:schemeClr w14:val="tx1"/>
                        </w14:solidFill>
                      </w14:textFill>
                    </w:rPr>
                    <w:t>1996</w:t>
                  </w:r>
                  <w:r>
                    <w:rPr>
                      <w:rFonts w:hint="eastAsia" w:ascii="宋体" w:hAnsi="宋体" w:eastAsia="宋体"/>
                      <w:color w:val="000000" w:themeColor="text1"/>
                      <w:spacing w:val="-77"/>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三</w:t>
                  </w:r>
                  <w:r>
                    <w:rPr>
                      <w:rFonts w:hint="eastAsia" w:ascii="宋体" w:hAnsi="宋体" w:eastAsia="宋体"/>
                      <w:color w:val="000000" w:themeColor="text1"/>
                      <w:sz w:val="21"/>
                      <w:szCs w:val="24"/>
                      <w:highlight w:val="none"/>
                      <w14:textFill>
                        <w14:solidFill>
                          <w14:schemeClr w14:val="tx1"/>
                        </w14:solidFill>
                      </w14:textFill>
                    </w:rPr>
                    <w:t>级</w:t>
                  </w:r>
                  <w:r>
                    <w:rPr>
                      <w:rFonts w:hint="eastAsia" w:ascii="宋体" w:hAnsi="宋体" w:eastAsia="宋体"/>
                      <w:color w:val="000000" w:themeColor="text1"/>
                      <w:spacing w:val="-3"/>
                      <w:sz w:val="21"/>
                      <w:szCs w:val="24"/>
                      <w:highlight w:val="none"/>
                      <w14:textFill>
                        <w14:solidFill>
                          <w14:schemeClr w14:val="tx1"/>
                        </w14:solidFill>
                      </w14:textFill>
                    </w:rPr>
                    <w:t>标准</w:t>
                  </w:r>
                  <w:r>
                    <w:rPr>
                      <w:rFonts w:hint="eastAsia" w:ascii="宋体" w:hAnsi="宋体" w:eastAsia="宋体"/>
                      <w:color w:val="000000" w:themeColor="text1"/>
                      <w:sz w:val="21"/>
                      <w:szCs w:val="24"/>
                      <w:highlight w:val="none"/>
                      <w14:textFill>
                        <w14:solidFill>
                          <w14:schemeClr w14:val="tx1"/>
                        </w14:solidFill>
                      </w14:textFill>
                    </w:rPr>
                    <w:t>或相关</w:t>
                  </w:r>
                  <w:r>
                    <w:rPr>
                      <w:rFonts w:hint="eastAsia" w:ascii="宋体" w:hAnsi="宋体" w:eastAsia="宋体"/>
                      <w:color w:val="000000" w:themeColor="text1"/>
                      <w:spacing w:val="-3"/>
                      <w:sz w:val="21"/>
                      <w:szCs w:val="24"/>
                      <w:highlight w:val="none"/>
                      <w14:textFill>
                        <w14:solidFill>
                          <w14:schemeClr w14:val="tx1"/>
                        </w14:solidFill>
                      </w14:textFill>
                    </w:rPr>
                    <w:t>行</w:t>
                  </w:r>
                  <w:r>
                    <w:rPr>
                      <w:rFonts w:hint="eastAsia" w:ascii="宋体" w:hAnsi="宋体" w:eastAsia="宋体"/>
                      <w:color w:val="000000" w:themeColor="text1"/>
                      <w:sz w:val="21"/>
                      <w:szCs w:val="24"/>
                      <w:highlight w:val="none"/>
                      <w14:textFill>
                        <w14:solidFill>
                          <w14:schemeClr w14:val="tx1"/>
                        </w14:solidFill>
                      </w14:textFill>
                    </w:rPr>
                    <w:t>业</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14:textFill>
                        <w14:solidFill>
                          <w14:schemeClr w14:val="tx1"/>
                        </w14:solidFill>
                      </w14:textFill>
                    </w:rPr>
                    <w:t>污</w:t>
                  </w:r>
                  <w:r>
                    <w:rPr>
                      <w:rFonts w:hint="eastAsia" w:ascii="宋体" w:hAnsi="宋体" w:eastAsia="宋体"/>
                      <w:color w:val="000000" w:themeColor="text1"/>
                      <w:spacing w:val="-3"/>
                      <w:sz w:val="21"/>
                      <w:szCs w:val="24"/>
                      <w:highlight w:val="none"/>
                      <w14:textFill>
                        <w14:solidFill>
                          <w14:schemeClr w14:val="tx1"/>
                        </w14:solidFill>
                      </w14:textFill>
                    </w:rPr>
                    <w:t>染</w:t>
                  </w:r>
                  <w:r>
                    <w:rPr>
                      <w:rFonts w:hint="eastAsia" w:ascii="宋体" w:hAnsi="宋体" w:eastAsia="宋体"/>
                      <w:color w:val="000000" w:themeColor="text1"/>
                      <w:sz w:val="21"/>
                      <w:szCs w:val="24"/>
                      <w:highlight w:val="none"/>
                      <w14:textFill>
                        <w14:solidFill>
                          <w14:schemeClr w14:val="tx1"/>
                        </w14:solidFill>
                      </w14:textFill>
                    </w:rPr>
                    <w:t>物</w:t>
                  </w:r>
                  <w:r>
                    <w:rPr>
                      <w:rFonts w:hint="eastAsia" w:ascii="宋体" w:hAnsi="宋体" w:eastAsia="宋体"/>
                      <w:color w:val="000000" w:themeColor="text1"/>
                      <w:spacing w:val="-3"/>
                      <w:sz w:val="21"/>
                      <w:szCs w:val="24"/>
                      <w:highlight w:val="none"/>
                      <w14:textFill>
                        <w14:solidFill>
                          <w14:schemeClr w14:val="tx1"/>
                        </w14:solidFill>
                      </w14:textFill>
                    </w:rPr>
                    <w:t>排</w:t>
                  </w:r>
                  <w:r>
                    <w:rPr>
                      <w:rFonts w:hint="eastAsia" w:ascii="宋体" w:hAnsi="宋体" w:eastAsia="宋体"/>
                      <w:color w:val="000000" w:themeColor="text1"/>
                      <w:sz w:val="21"/>
                      <w:szCs w:val="24"/>
                      <w:highlight w:val="none"/>
                      <w14:textFill>
                        <w14:solidFill>
                          <w14:schemeClr w14:val="tx1"/>
                        </w14:solidFill>
                      </w14:textFill>
                    </w:rPr>
                    <w:t>放标准，</w:t>
                  </w:r>
                  <w:r>
                    <w:rPr>
                      <w:rFonts w:hint="eastAsia" w:ascii="宋体" w:hAnsi="宋体" w:eastAsia="宋体"/>
                      <w:color w:val="000000" w:themeColor="text1"/>
                      <w:spacing w:val="-3"/>
                      <w:sz w:val="21"/>
                      <w:szCs w:val="24"/>
                      <w:highlight w:val="none"/>
                      <w14:textFill>
                        <w14:solidFill>
                          <w14:schemeClr w14:val="tx1"/>
                        </w14:solidFill>
                      </w14:textFill>
                    </w:rPr>
                    <w:t>以</w:t>
                  </w:r>
                  <w:r>
                    <w:rPr>
                      <w:rFonts w:hint="eastAsia" w:ascii="宋体" w:hAnsi="宋体" w:eastAsia="宋体"/>
                      <w:color w:val="000000" w:themeColor="text1"/>
                      <w:sz w:val="21"/>
                      <w:szCs w:val="24"/>
                      <w:highlight w:val="none"/>
                      <w14:textFill>
                        <w14:solidFill>
                          <w14:schemeClr w14:val="tx1"/>
                        </w14:solidFill>
                      </w14:textFill>
                    </w:rPr>
                    <w:t>及</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水</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pacing w:val="-3"/>
                      <w:sz w:val="21"/>
                      <w:szCs w:val="24"/>
                      <w:highlight w:val="none"/>
                      <w14:textFill>
                        <w14:solidFill>
                          <w14:schemeClr w14:val="tx1"/>
                        </w14:solidFill>
                      </w14:textFill>
                    </w:rPr>
                    <w:t>厂</w:t>
                  </w:r>
                  <w:r>
                    <w:rPr>
                      <w:rFonts w:hint="eastAsia" w:ascii="宋体" w:hAnsi="宋体" w:eastAsia="宋体"/>
                      <w:color w:val="000000" w:themeColor="text1"/>
                      <w:sz w:val="21"/>
                      <w:szCs w:val="24"/>
                      <w:highlight w:val="none"/>
                      <w14:textFill>
                        <w14:solidFill>
                          <w14:schemeClr w14:val="tx1"/>
                        </w14:solidFill>
                      </w14:textFill>
                    </w:rPr>
                    <w:t>进</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14:textFill>
                        <w14:solidFill>
                          <w14:schemeClr w14:val="tx1"/>
                        </w14:solidFill>
                      </w14:textFill>
                    </w:rPr>
                    <w:t>要求后</w:t>
                  </w:r>
                  <w:r>
                    <w:rPr>
                      <w:rFonts w:hint="eastAsia" w:ascii="宋体" w:hAnsi="宋体" w:eastAsia="宋体"/>
                      <w:color w:val="000000" w:themeColor="text1"/>
                      <w:spacing w:val="-3"/>
                      <w:sz w:val="21"/>
                      <w:szCs w:val="24"/>
                      <w:highlight w:val="none"/>
                      <w14:textFill>
                        <w14:solidFill>
                          <w14:schemeClr w14:val="tx1"/>
                        </w14:solidFill>
                      </w14:textFill>
                    </w:rPr>
                    <w:t>进</w:t>
                  </w:r>
                  <w:r>
                    <w:rPr>
                      <w:rFonts w:hint="eastAsia" w:ascii="宋体" w:hAnsi="宋体" w:eastAsia="宋体"/>
                      <w:color w:val="000000" w:themeColor="text1"/>
                      <w:sz w:val="21"/>
                      <w:szCs w:val="24"/>
                      <w:highlight w:val="none"/>
                      <w14:textFill>
                        <w14:solidFill>
                          <w14:schemeClr w14:val="tx1"/>
                        </w14:solidFill>
                      </w14:textFill>
                    </w:rPr>
                    <w:t>入</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水</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pacing w:val="-3"/>
                      <w:sz w:val="21"/>
                      <w:szCs w:val="24"/>
                      <w:highlight w:val="none"/>
                      <w14:textFill>
                        <w14:solidFill>
                          <w14:schemeClr w14:val="tx1"/>
                        </w14:solidFill>
                      </w14:textFill>
                    </w:rPr>
                    <w:t>厂</w:t>
                  </w:r>
                  <w:r>
                    <w:rPr>
                      <w:rFonts w:hint="eastAsia" w:ascii="宋体" w:hAnsi="宋体" w:eastAsia="宋体"/>
                      <w:color w:val="000000" w:themeColor="text1"/>
                      <w:sz w:val="21"/>
                      <w:szCs w:val="24"/>
                      <w:highlight w:val="none"/>
                      <w14:textFill>
                        <w14:solidFill>
                          <w14:schemeClr w14:val="tx1"/>
                        </w14:solidFill>
                      </w14:textFill>
                    </w:rPr>
                    <w:t>集</w:t>
                  </w:r>
                  <w:r>
                    <w:rPr>
                      <w:rFonts w:hint="eastAsia" w:ascii="宋体" w:hAnsi="宋体" w:eastAsia="宋体"/>
                      <w:color w:val="000000" w:themeColor="text1"/>
                      <w:spacing w:val="-3"/>
                      <w:sz w:val="21"/>
                      <w:szCs w:val="24"/>
                      <w:highlight w:val="none"/>
                      <w14:textFill>
                        <w14:solidFill>
                          <w14:schemeClr w14:val="tx1"/>
                        </w14:solidFill>
                      </w14:textFill>
                    </w:rPr>
                    <w:t>中</w:t>
                  </w:r>
                  <w:r>
                    <w:rPr>
                      <w:rFonts w:hint="eastAsia" w:ascii="宋体" w:hAnsi="宋体" w:eastAsia="宋体"/>
                      <w:color w:val="000000" w:themeColor="text1"/>
                      <w:sz w:val="21"/>
                      <w:szCs w:val="24"/>
                      <w:highlight w:val="none"/>
                      <w14:textFill>
                        <w14:solidFill>
                          <w14:schemeClr w14:val="tx1"/>
                        </w14:solidFill>
                      </w14:textFill>
                    </w:rPr>
                    <w:t>处理后</w:t>
                  </w:r>
                  <w:r>
                    <w:rPr>
                      <w:rFonts w:hint="eastAsia" w:ascii="宋体" w:hAnsi="宋体" w:eastAsia="宋体"/>
                      <w:color w:val="000000" w:themeColor="text1"/>
                      <w:spacing w:val="-3"/>
                      <w:sz w:val="21"/>
                      <w:szCs w:val="24"/>
                      <w:highlight w:val="none"/>
                      <w14:textFill>
                        <w14:solidFill>
                          <w14:schemeClr w14:val="tx1"/>
                        </w14:solidFill>
                      </w14:textFill>
                    </w:rPr>
                    <w:t>达</w:t>
                  </w:r>
                  <w:r>
                    <w:rPr>
                      <w:rFonts w:hint="eastAsia" w:ascii="宋体" w:hAnsi="宋体" w:eastAsia="宋体"/>
                      <w:color w:val="000000" w:themeColor="text1"/>
                      <w:spacing w:val="-1"/>
                      <w:sz w:val="21"/>
                      <w:szCs w:val="24"/>
                      <w:highlight w:val="none"/>
                      <w14:textFill>
                        <w14:solidFill>
                          <w14:schemeClr w14:val="tx1"/>
                        </w14:solidFill>
                      </w14:textFill>
                    </w:rPr>
                    <w:t>标</w:t>
                  </w:r>
                  <w:r>
                    <w:rPr>
                      <w:rFonts w:hint="eastAsia" w:ascii="宋体" w:hAnsi="宋体" w:eastAsia="宋体"/>
                      <w:color w:val="000000" w:themeColor="text1"/>
                      <w:spacing w:val="-3"/>
                      <w:sz w:val="21"/>
                      <w:szCs w:val="24"/>
                      <w:highlight w:val="none"/>
                      <w14:textFill>
                        <w14:solidFill>
                          <w14:schemeClr w14:val="tx1"/>
                        </w14:solidFill>
                      </w14:textFill>
                    </w:rPr>
                    <w:t>排</w:t>
                  </w:r>
                  <w:r>
                    <w:rPr>
                      <w:rFonts w:hint="eastAsia" w:ascii="宋体" w:hAnsi="宋体" w:eastAsia="宋体"/>
                      <w:color w:val="000000" w:themeColor="text1"/>
                      <w:sz w:val="21"/>
                      <w:szCs w:val="24"/>
                      <w:highlight w:val="none"/>
                      <w14:textFill>
                        <w14:solidFill>
                          <w14:schemeClr w14:val="tx1"/>
                        </w14:solidFill>
                      </w14:textFill>
                    </w:rPr>
                    <w:t>放。</w:t>
                  </w:r>
                </w:p>
              </w:tc>
              <w:tc>
                <w:tcPr>
                  <w:tcW w:w="2555" w:type="dxa"/>
                  <w:tcBorders>
                    <w:tl2br w:val="nil"/>
                    <w:tr2bl w:val="nil"/>
                  </w:tcBorders>
                  <w:noWrap w:val="0"/>
                  <w:vAlign w:val="center"/>
                </w:tcPr>
                <w:p w14:paraId="527D1211">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pacing w:val="-3"/>
                      <w:sz w:val="21"/>
                      <w:szCs w:val="24"/>
                      <w:highlight w:val="none"/>
                      <w14:textFill>
                        <w14:solidFill>
                          <w14:schemeClr w14:val="tx1"/>
                        </w14:solidFill>
                      </w14:textFill>
                    </w:rPr>
                    <w:t>实</w:t>
                  </w:r>
                  <w:r>
                    <w:rPr>
                      <w:rFonts w:hint="eastAsia" w:ascii="宋体" w:hAnsi="宋体" w:eastAsia="宋体"/>
                      <w:color w:val="000000" w:themeColor="text1"/>
                      <w:sz w:val="21"/>
                      <w:szCs w:val="24"/>
                      <w:highlight w:val="none"/>
                      <w14:textFill>
                        <w14:solidFill>
                          <w14:schemeClr w14:val="tx1"/>
                        </w14:solidFill>
                      </w14:textFill>
                    </w:rPr>
                    <w:t>行</w:t>
                  </w:r>
                  <w:r>
                    <w:rPr>
                      <w:rFonts w:hint="eastAsia" w:ascii="宋体" w:hAnsi="宋体" w:eastAsia="宋体"/>
                      <w:color w:val="000000" w:themeColor="text1"/>
                      <w:spacing w:val="-3"/>
                      <w:sz w:val="21"/>
                      <w:szCs w:val="24"/>
                      <w:highlight w:val="none"/>
                      <w14:textFill>
                        <w14:solidFill>
                          <w14:schemeClr w14:val="tx1"/>
                        </w14:solidFill>
                      </w14:textFill>
                    </w:rPr>
                    <w:t>雨</w:t>
                  </w:r>
                  <w:r>
                    <w:rPr>
                      <w:rFonts w:hint="eastAsia" w:ascii="宋体" w:hAnsi="宋体" w:eastAsia="宋体"/>
                      <w:color w:val="000000" w:themeColor="text1"/>
                      <w:sz w:val="21"/>
                      <w:szCs w:val="24"/>
                      <w:highlight w:val="none"/>
                      <w14:textFill>
                        <w14:solidFill>
                          <w14:schemeClr w14:val="tx1"/>
                        </w14:solidFill>
                      </w14:textFill>
                    </w:rPr>
                    <w:t>污</w:t>
                  </w:r>
                  <w:r>
                    <w:rPr>
                      <w:rFonts w:hint="eastAsia" w:ascii="宋体" w:hAnsi="宋体" w:eastAsia="宋体"/>
                      <w:color w:val="000000" w:themeColor="text1"/>
                      <w:spacing w:val="-3"/>
                      <w:sz w:val="21"/>
                      <w:szCs w:val="24"/>
                      <w:highlight w:val="none"/>
                      <w14:textFill>
                        <w14:solidFill>
                          <w14:schemeClr w14:val="tx1"/>
                        </w14:solidFill>
                      </w14:textFill>
                    </w:rPr>
                    <w:t>分</w:t>
                  </w:r>
                  <w:r>
                    <w:rPr>
                      <w:rFonts w:hint="eastAsia" w:ascii="宋体" w:hAnsi="宋体" w:eastAsia="宋体"/>
                      <w:color w:val="000000" w:themeColor="text1"/>
                      <w:sz w:val="21"/>
                      <w:szCs w:val="24"/>
                      <w:highlight w:val="none"/>
                      <w14:textFill>
                        <w14:solidFill>
                          <w14:schemeClr w14:val="tx1"/>
                        </w14:solidFill>
                      </w14:textFill>
                    </w:rPr>
                    <w:t>流</w:t>
                  </w:r>
                  <w:r>
                    <w:rPr>
                      <w:rFonts w:hint="eastAsia" w:ascii="宋体" w:hAnsi="宋体" w:eastAsia="宋体"/>
                      <w:color w:val="000000" w:themeColor="text1"/>
                      <w:spacing w:val="-3"/>
                      <w:sz w:val="21"/>
                      <w:szCs w:val="24"/>
                      <w:highlight w:val="none"/>
                      <w14:textFill>
                        <w14:solidFill>
                          <w14:schemeClr w14:val="tx1"/>
                        </w14:solidFill>
                      </w14:textFill>
                    </w:rPr>
                    <w:t>制</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lang w:eastAsia="zh-CN"/>
                      <w14:textFill>
                        <w14:solidFill>
                          <w14:schemeClr w14:val="tx1"/>
                        </w14:solidFill>
                      </w14:textFill>
                    </w:rPr>
                    <w:t>场地内雨水经雨水管沟收集后排入初期雨水收集池沉淀后回用，场地外</w:t>
                  </w:r>
                  <w:r>
                    <w:rPr>
                      <w:rFonts w:hint="eastAsia" w:ascii="宋体" w:hAnsi="宋体" w:eastAsia="宋体"/>
                      <w:color w:val="000000" w:themeColor="text1"/>
                      <w:sz w:val="21"/>
                      <w:szCs w:val="24"/>
                      <w:highlight w:val="none"/>
                      <w14:textFill>
                        <w14:solidFill>
                          <w14:schemeClr w14:val="tx1"/>
                        </w14:solidFill>
                      </w14:textFill>
                    </w:rPr>
                    <w:t>雨水</w:t>
                  </w:r>
                  <w:r>
                    <w:rPr>
                      <w:rFonts w:hint="eastAsia" w:ascii="宋体" w:hAnsi="宋体" w:eastAsia="宋体"/>
                      <w:color w:val="000000" w:themeColor="text1"/>
                      <w:spacing w:val="-3"/>
                      <w:sz w:val="21"/>
                      <w:szCs w:val="24"/>
                      <w:highlight w:val="none"/>
                      <w14:textFill>
                        <w14:solidFill>
                          <w14:schemeClr w14:val="tx1"/>
                        </w14:solidFill>
                      </w14:textFill>
                    </w:rPr>
                    <w:t>经</w:t>
                  </w:r>
                  <w:r>
                    <w:rPr>
                      <w:rFonts w:hint="eastAsia" w:ascii="宋体" w:hAnsi="宋体" w:eastAsia="宋体"/>
                      <w:color w:val="000000" w:themeColor="text1"/>
                      <w:sz w:val="21"/>
                      <w:szCs w:val="24"/>
                      <w:highlight w:val="none"/>
                      <w14:textFill>
                        <w14:solidFill>
                          <w14:schemeClr w14:val="tx1"/>
                        </w14:solidFill>
                      </w14:textFill>
                    </w:rPr>
                    <w:t>园</w:t>
                  </w:r>
                  <w:r>
                    <w:rPr>
                      <w:rFonts w:hint="eastAsia" w:ascii="宋体" w:hAnsi="宋体" w:eastAsia="宋体"/>
                      <w:color w:val="000000" w:themeColor="text1"/>
                      <w:spacing w:val="-3"/>
                      <w:sz w:val="21"/>
                      <w:szCs w:val="24"/>
                      <w:highlight w:val="none"/>
                      <w14:textFill>
                        <w14:solidFill>
                          <w14:schemeClr w14:val="tx1"/>
                        </w14:solidFill>
                      </w14:textFill>
                    </w:rPr>
                    <w:t>区</w:t>
                  </w:r>
                  <w:r>
                    <w:rPr>
                      <w:rFonts w:hint="eastAsia" w:ascii="宋体" w:hAnsi="宋体" w:eastAsia="宋体"/>
                      <w:color w:val="000000" w:themeColor="text1"/>
                      <w:sz w:val="21"/>
                      <w:szCs w:val="24"/>
                      <w:highlight w:val="none"/>
                      <w14:textFill>
                        <w14:solidFill>
                          <w14:schemeClr w14:val="tx1"/>
                        </w14:solidFill>
                      </w14:textFill>
                    </w:rPr>
                    <w:t>雨</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14:textFill>
                        <w14:solidFill>
                          <w14:schemeClr w14:val="tx1"/>
                        </w14:solidFill>
                      </w14:textFill>
                    </w:rPr>
                    <w:t>管</w:t>
                  </w:r>
                  <w:r>
                    <w:rPr>
                      <w:rFonts w:hint="eastAsia" w:ascii="宋体" w:hAnsi="宋体" w:eastAsia="宋体"/>
                      <w:color w:val="000000" w:themeColor="text1"/>
                      <w:spacing w:val="-3"/>
                      <w:sz w:val="21"/>
                      <w:szCs w:val="24"/>
                      <w:highlight w:val="none"/>
                      <w14:textFill>
                        <w14:solidFill>
                          <w14:schemeClr w14:val="tx1"/>
                        </w14:solidFill>
                      </w14:textFill>
                    </w:rPr>
                    <w:t>网</w:t>
                  </w:r>
                  <w:r>
                    <w:rPr>
                      <w:rFonts w:hint="eastAsia" w:ascii="宋体" w:hAnsi="宋体" w:eastAsia="宋体"/>
                      <w:color w:val="000000" w:themeColor="text1"/>
                      <w:sz w:val="21"/>
                      <w:szCs w:val="24"/>
                      <w:highlight w:val="none"/>
                      <w14:textFill>
                        <w14:solidFill>
                          <w14:schemeClr w14:val="tx1"/>
                        </w14:solidFill>
                      </w14:textFill>
                    </w:rPr>
                    <w:t>收集后</w:t>
                  </w:r>
                  <w:r>
                    <w:rPr>
                      <w:rFonts w:hint="eastAsia" w:ascii="宋体" w:hAnsi="宋体" w:eastAsia="宋体"/>
                      <w:color w:val="000000" w:themeColor="text1"/>
                      <w:spacing w:val="-3"/>
                      <w:sz w:val="21"/>
                      <w:szCs w:val="24"/>
                      <w:highlight w:val="none"/>
                      <w:lang w:eastAsia="zh-CN"/>
                      <w14:textFill>
                        <w14:solidFill>
                          <w14:schemeClr w14:val="tx1"/>
                        </w14:solidFill>
                      </w14:textFill>
                    </w:rPr>
                    <w:t>回用于厂区抑尘及清洗用水</w:t>
                  </w:r>
                  <w:r>
                    <w:rPr>
                      <w:rFonts w:hint="eastAsia" w:ascii="宋体" w:hAnsi="宋体" w:eastAsia="宋体"/>
                      <w:color w:val="000000" w:themeColor="text1"/>
                      <w:spacing w:val="-3"/>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本</w:t>
                  </w:r>
                  <w:r>
                    <w:rPr>
                      <w:rFonts w:hint="eastAsia" w:ascii="宋体" w:hAnsi="宋体" w:eastAsia="宋体"/>
                      <w:color w:val="000000" w:themeColor="text1"/>
                      <w:spacing w:val="-3"/>
                      <w:sz w:val="21"/>
                      <w:szCs w:val="24"/>
                      <w:highlight w:val="none"/>
                      <w14:textFill>
                        <w14:solidFill>
                          <w14:schemeClr w14:val="tx1"/>
                        </w14:solidFill>
                      </w14:textFill>
                    </w:rPr>
                    <w:t>项</w:t>
                  </w:r>
                  <w:r>
                    <w:rPr>
                      <w:rFonts w:hint="eastAsia" w:ascii="宋体" w:hAnsi="宋体" w:eastAsia="宋体"/>
                      <w:color w:val="000000" w:themeColor="text1"/>
                      <w:sz w:val="21"/>
                      <w:szCs w:val="24"/>
                      <w:highlight w:val="none"/>
                      <w14:textFill>
                        <w14:solidFill>
                          <w14:schemeClr w14:val="tx1"/>
                        </w14:solidFill>
                      </w14:textFill>
                    </w:rPr>
                    <w:t>目</w:t>
                  </w:r>
                  <w:r>
                    <w:rPr>
                      <w:rFonts w:hint="eastAsia" w:ascii="宋体" w:hAnsi="宋体" w:eastAsia="宋体"/>
                      <w:color w:val="000000" w:themeColor="text1"/>
                      <w:spacing w:val="-3"/>
                      <w:sz w:val="21"/>
                      <w:szCs w:val="24"/>
                      <w:highlight w:val="none"/>
                      <w14:textFill>
                        <w14:solidFill>
                          <w14:schemeClr w14:val="tx1"/>
                        </w14:solidFill>
                      </w14:textFill>
                    </w:rPr>
                    <w:t>营</w:t>
                  </w:r>
                  <w:r>
                    <w:rPr>
                      <w:rFonts w:hint="eastAsia" w:ascii="宋体" w:hAnsi="宋体" w:eastAsia="宋体"/>
                      <w:color w:val="000000" w:themeColor="text1"/>
                      <w:sz w:val="21"/>
                      <w:szCs w:val="24"/>
                      <w:highlight w:val="none"/>
                      <w14:textFill>
                        <w14:solidFill>
                          <w14:schemeClr w14:val="tx1"/>
                        </w14:solidFill>
                      </w14:textFill>
                    </w:rPr>
                    <w:t>运期生</w:t>
                  </w:r>
                  <w:r>
                    <w:rPr>
                      <w:rFonts w:hint="eastAsia" w:ascii="宋体" w:hAnsi="宋体" w:eastAsia="宋体"/>
                      <w:color w:val="000000" w:themeColor="text1"/>
                      <w:spacing w:val="-3"/>
                      <w:sz w:val="21"/>
                      <w:szCs w:val="24"/>
                      <w:highlight w:val="none"/>
                      <w14:textFill>
                        <w14:solidFill>
                          <w14:schemeClr w14:val="tx1"/>
                        </w14:solidFill>
                      </w14:textFill>
                    </w:rPr>
                    <w:t>活</w:t>
                  </w:r>
                  <w:r>
                    <w:rPr>
                      <w:rFonts w:hint="eastAsia" w:ascii="宋体" w:hAnsi="宋体" w:eastAsia="宋体"/>
                      <w:color w:val="000000" w:themeColor="text1"/>
                      <w:sz w:val="21"/>
                      <w:szCs w:val="24"/>
                      <w:highlight w:val="none"/>
                      <w14:textFill>
                        <w14:solidFill>
                          <w14:schemeClr w14:val="tx1"/>
                        </w14:solidFill>
                      </w14:textFill>
                    </w:rPr>
                    <w:t>废</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lang w:eastAsia="zh-CN"/>
                      <w14:textFill>
                        <w14:solidFill>
                          <w14:schemeClr w14:val="tx1"/>
                        </w14:solidFill>
                      </w14:textFill>
                    </w:rPr>
                    <w:t>经</w:t>
                  </w:r>
                  <w:r>
                    <w:rPr>
                      <w:rFonts w:hint="eastAsia" w:ascii="宋体" w:hAnsi="宋体" w:eastAsia="宋体"/>
                      <w:color w:val="000000" w:themeColor="text1"/>
                      <w:spacing w:val="-3"/>
                      <w:sz w:val="21"/>
                      <w:szCs w:val="24"/>
                      <w:highlight w:val="none"/>
                      <w14:textFill>
                        <w14:solidFill>
                          <w14:schemeClr w14:val="tx1"/>
                        </w14:solidFill>
                      </w14:textFill>
                    </w:rPr>
                    <w:t>化</w:t>
                  </w:r>
                  <w:r>
                    <w:rPr>
                      <w:rFonts w:hint="eastAsia" w:ascii="宋体" w:hAnsi="宋体" w:eastAsia="宋体"/>
                      <w:color w:val="000000" w:themeColor="text1"/>
                      <w:sz w:val="21"/>
                      <w:szCs w:val="24"/>
                      <w:highlight w:val="none"/>
                      <w14:textFill>
                        <w14:solidFill>
                          <w14:schemeClr w14:val="tx1"/>
                        </w14:solidFill>
                      </w14:textFill>
                    </w:rPr>
                    <w:t>粪</w:t>
                  </w:r>
                  <w:r>
                    <w:rPr>
                      <w:rFonts w:hint="eastAsia" w:ascii="宋体" w:hAnsi="宋体" w:eastAsia="宋体"/>
                      <w:color w:val="000000" w:themeColor="text1"/>
                      <w:spacing w:val="-3"/>
                      <w:sz w:val="21"/>
                      <w:szCs w:val="24"/>
                      <w:highlight w:val="none"/>
                      <w14:textFill>
                        <w14:solidFill>
                          <w14:schemeClr w14:val="tx1"/>
                        </w14:solidFill>
                      </w14:textFill>
                    </w:rPr>
                    <w:t>池</w:t>
                  </w:r>
                  <w:r>
                    <w:rPr>
                      <w:rFonts w:hint="eastAsia" w:ascii="宋体" w:hAnsi="宋体" w:eastAsia="宋体"/>
                      <w:color w:val="000000" w:themeColor="text1"/>
                      <w:sz w:val="21"/>
                      <w:szCs w:val="24"/>
                      <w:highlight w:val="none"/>
                      <w14:textFill>
                        <w14:solidFill>
                          <w14:schemeClr w14:val="tx1"/>
                        </w14:solidFill>
                      </w14:textFill>
                    </w:rPr>
                    <w:t>处理</w:t>
                  </w:r>
                  <w:r>
                    <w:rPr>
                      <w:rFonts w:hint="eastAsia" w:ascii="宋体" w:hAnsi="宋体" w:eastAsia="宋体"/>
                      <w:color w:val="000000" w:themeColor="text1"/>
                      <w:spacing w:val="-3"/>
                      <w:sz w:val="21"/>
                      <w:szCs w:val="24"/>
                      <w:highlight w:val="none"/>
                      <w14:textFill>
                        <w14:solidFill>
                          <w14:schemeClr w14:val="tx1"/>
                        </w14:solidFill>
                      </w14:textFill>
                    </w:rPr>
                    <w:t>后排</w:t>
                  </w:r>
                  <w:r>
                    <w:rPr>
                      <w:rFonts w:hint="eastAsia" w:ascii="宋体" w:hAnsi="宋体" w:eastAsia="宋体"/>
                      <w:color w:val="000000" w:themeColor="text1"/>
                      <w:sz w:val="21"/>
                      <w:szCs w:val="24"/>
                      <w:highlight w:val="none"/>
                      <w14:textFill>
                        <w14:solidFill>
                          <w14:schemeClr w14:val="tx1"/>
                        </w14:solidFill>
                      </w14:textFill>
                    </w:rPr>
                    <w:t>入</w:t>
                  </w:r>
                  <w:r>
                    <w:rPr>
                      <w:rFonts w:hint="eastAsia" w:ascii="宋体" w:hAnsi="宋体" w:eastAsia="宋体"/>
                      <w:color w:val="000000" w:themeColor="text1"/>
                      <w:spacing w:val="-3"/>
                      <w:sz w:val="21"/>
                      <w:szCs w:val="24"/>
                      <w:highlight w:val="none"/>
                      <w14:textFill>
                        <w14:solidFill>
                          <w14:schemeClr w14:val="tx1"/>
                        </w14:solidFill>
                      </w14:textFill>
                    </w:rPr>
                    <w:t>宝</w:t>
                  </w:r>
                  <w:r>
                    <w:rPr>
                      <w:rFonts w:hint="eastAsia" w:ascii="宋体" w:hAnsi="宋体" w:eastAsia="宋体"/>
                      <w:color w:val="000000" w:themeColor="text1"/>
                      <w:sz w:val="21"/>
                      <w:szCs w:val="24"/>
                      <w:highlight w:val="none"/>
                      <w14:textFill>
                        <w14:solidFill>
                          <w14:schemeClr w14:val="tx1"/>
                        </w14:solidFill>
                      </w14:textFill>
                    </w:rPr>
                    <w:t>梵</w:t>
                  </w:r>
                  <w:r>
                    <w:rPr>
                      <w:rFonts w:hint="eastAsia" w:ascii="宋体" w:hAnsi="宋体" w:eastAsia="宋体"/>
                      <w:color w:val="000000" w:themeColor="text1"/>
                      <w:spacing w:val="-3"/>
                      <w:sz w:val="21"/>
                      <w:szCs w:val="24"/>
                      <w:highlight w:val="none"/>
                      <w14:textFill>
                        <w14:solidFill>
                          <w14:schemeClr w14:val="tx1"/>
                        </w14:solidFill>
                      </w14:textFill>
                    </w:rPr>
                    <w:t>镇</w:t>
                  </w:r>
                  <w:r>
                    <w:rPr>
                      <w:rFonts w:hint="eastAsia" w:ascii="宋体" w:hAnsi="宋体" w:eastAsia="宋体"/>
                      <w:color w:val="000000" w:themeColor="text1"/>
                      <w:sz w:val="21"/>
                      <w:szCs w:val="24"/>
                      <w:highlight w:val="none"/>
                      <w14:textFill>
                        <w14:solidFill>
                          <w14:schemeClr w14:val="tx1"/>
                        </w14:solidFill>
                      </w14:textFill>
                    </w:rPr>
                    <w:t>污水处</w:t>
                  </w:r>
                  <w:r>
                    <w:rPr>
                      <w:rFonts w:hint="eastAsia" w:ascii="宋体" w:hAnsi="宋体" w:eastAsia="宋体"/>
                      <w:color w:val="000000" w:themeColor="text1"/>
                      <w:spacing w:val="-3"/>
                      <w:sz w:val="21"/>
                      <w:szCs w:val="24"/>
                      <w:highlight w:val="none"/>
                      <w14:textFill>
                        <w14:solidFill>
                          <w14:schemeClr w14:val="tx1"/>
                        </w14:solidFill>
                      </w14:textFill>
                    </w:rPr>
                    <w:t>理</w:t>
                  </w:r>
                  <w:r>
                    <w:rPr>
                      <w:rFonts w:hint="eastAsia" w:ascii="宋体" w:hAnsi="宋体" w:eastAsia="宋体"/>
                      <w:color w:val="000000" w:themeColor="text1"/>
                      <w:sz w:val="21"/>
                      <w:szCs w:val="24"/>
                      <w:highlight w:val="none"/>
                      <w14:textFill>
                        <w14:solidFill>
                          <w14:schemeClr w14:val="tx1"/>
                        </w14:solidFill>
                      </w14:textFill>
                    </w:rPr>
                    <w:t>厂</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pacing w:val="-3"/>
                      <w:sz w:val="21"/>
                      <w:szCs w:val="24"/>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本项目设置生产区废水排水收集系统、对生产废水进行沉淀处理，沉淀后的上清液回用作厂区抑尘</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用水</w:t>
                  </w:r>
                  <w:r>
                    <w:rPr>
                      <w:rFonts w:hint="eastAsia" w:ascii="宋体" w:hAnsi="宋体" w:eastAsia="宋体"/>
                      <w:color w:val="000000" w:themeColor="text1"/>
                      <w:spacing w:val="-3"/>
                      <w:sz w:val="21"/>
                      <w:szCs w:val="24"/>
                      <w:highlight w:val="none"/>
                      <w:lang w:eastAsia="zh-CN"/>
                      <w14:textFill>
                        <w14:solidFill>
                          <w14:schemeClr w14:val="tx1"/>
                        </w14:solidFill>
                      </w14:textFill>
                    </w:rPr>
                    <w:t>及清洗用水</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，无生产废水外排</w:t>
                  </w:r>
                  <w:r>
                    <w:rPr>
                      <w:rFonts w:hint="eastAsia" w:ascii="宋体" w:hAnsi="宋体" w:eastAsia="宋体"/>
                      <w:color w:val="000000" w:themeColor="text1"/>
                      <w:sz w:val="21"/>
                      <w:szCs w:val="24"/>
                      <w:highlight w:val="none"/>
                      <w14:textFill>
                        <w14:solidFill>
                          <w14:schemeClr w14:val="tx1"/>
                        </w14:solidFill>
                      </w14:textFill>
                    </w:rPr>
                    <w:t>。</w:t>
                  </w:r>
                </w:p>
              </w:tc>
              <w:tc>
                <w:tcPr>
                  <w:tcW w:w="676" w:type="dxa"/>
                  <w:tcBorders>
                    <w:tl2br w:val="nil"/>
                    <w:tr2bl w:val="nil"/>
                  </w:tcBorders>
                  <w:noWrap w:val="0"/>
                  <w:vAlign w:val="center"/>
                </w:tcPr>
                <w:p w14:paraId="78DF9CAB">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63816B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6" w:type="dxa"/>
                  <w:tcBorders>
                    <w:tl2br w:val="nil"/>
                    <w:tr2bl w:val="nil"/>
                  </w:tcBorders>
                  <w:noWrap w:val="0"/>
                  <w:vAlign w:val="center"/>
                </w:tcPr>
                <w:p w14:paraId="0D5D6B0D">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地下水环境保护措施</w:t>
                  </w:r>
                </w:p>
              </w:tc>
              <w:tc>
                <w:tcPr>
                  <w:tcW w:w="2953" w:type="dxa"/>
                  <w:tcBorders>
                    <w:tl2br w:val="nil"/>
                    <w:tr2bl w:val="nil"/>
                  </w:tcBorders>
                  <w:noWrap w:val="0"/>
                  <w:vAlign w:val="center"/>
                </w:tcPr>
                <w:p w14:paraId="27512E49">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pacing w:val="6"/>
                      <w:sz w:val="21"/>
                      <w:szCs w:val="24"/>
                      <w:highlight w:val="none"/>
                      <w14:textFill>
                        <w14:solidFill>
                          <w14:schemeClr w14:val="tx1"/>
                        </w14:solidFill>
                      </w14:textFill>
                    </w:rPr>
                    <w:t>园</w:t>
                  </w:r>
                  <w:r>
                    <w:rPr>
                      <w:rFonts w:hint="eastAsia" w:ascii="宋体" w:hAnsi="宋体" w:eastAsia="宋体"/>
                      <w:color w:val="000000" w:themeColor="text1"/>
                      <w:spacing w:val="4"/>
                      <w:sz w:val="21"/>
                      <w:szCs w:val="24"/>
                      <w:highlight w:val="none"/>
                      <w14:textFill>
                        <w14:solidFill>
                          <w14:schemeClr w14:val="tx1"/>
                        </w14:solidFill>
                      </w14:textFill>
                    </w:rPr>
                    <w:t>区</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厂区</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企业</w:t>
                  </w:r>
                  <w:r>
                    <w:rPr>
                      <w:rFonts w:hint="eastAsia" w:ascii="宋体" w:hAnsi="宋体" w:eastAsia="宋体"/>
                      <w:color w:val="000000" w:themeColor="text1"/>
                      <w:spacing w:val="6"/>
                      <w:sz w:val="21"/>
                      <w:szCs w:val="24"/>
                      <w:highlight w:val="none"/>
                      <w14:textFill>
                        <w14:solidFill>
                          <w14:schemeClr w14:val="tx1"/>
                        </w14:solidFill>
                      </w14:textFill>
                    </w:rPr>
                    <w:t>生</w:t>
                  </w:r>
                  <w:r>
                    <w:rPr>
                      <w:rFonts w:hint="eastAsia" w:ascii="宋体" w:hAnsi="宋体" w:eastAsia="宋体"/>
                      <w:color w:val="000000" w:themeColor="text1"/>
                      <w:spacing w:val="4"/>
                      <w:sz w:val="21"/>
                      <w:szCs w:val="24"/>
                      <w:highlight w:val="none"/>
                      <w14:textFill>
                        <w14:solidFill>
                          <w14:schemeClr w14:val="tx1"/>
                        </w14:solidFill>
                      </w14:textFill>
                    </w:rPr>
                    <w:t>产车</w:t>
                  </w:r>
                  <w:r>
                    <w:rPr>
                      <w:rFonts w:hint="eastAsia" w:ascii="宋体" w:hAnsi="宋体" w:eastAsia="宋体"/>
                      <w:color w:val="000000" w:themeColor="text1"/>
                      <w:sz w:val="21"/>
                      <w:szCs w:val="24"/>
                      <w:highlight w:val="none"/>
                      <w14:textFill>
                        <w14:solidFill>
                          <w14:schemeClr w14:val="tx1"/>
                        </w14:solidFill>
                      </w14:textFill>
                    </w:rPr>
                    <w:t>间</w:t>
                  </w:r>
                  <w:r>
                    <w:rPr>
                      <w:rFonts w:hint="eastAsia" w:ascii="宋体" w:hAnsi="宋体" w:eastAsia="宋体"/>
                      <w:color w:val="000000" w:themeColor="text1"/>
                      <w:spacing w:val="6"/>
                      <w:sz w:val="21"/>
                      <w:szCs w:val="24"/>
                      <w:highlight w:val="none"/>
                      <w14:textFill>
                        <w14:solidFill>
                          <w14:schemeClr w14:val="tx1"/>
                        </w14:solidFill>
                      </w14:textFill>
                    </w:rPr>
                    <w:t>均</w:t>
                  </w:r>
                  <w:r>
                    <w:rPr>
                      <w:rFonts w:hint="eastAsia" w:ascii="宋体" w:hAnsi="宋体" w:eastAsia="宋体"/>
                      <w:color w:val="000000" w:themeColor="text1"/>
                      <w:spacing w:val="4"/>
                      <w:sz w:val="21"/>
                      <w:szCs w:val="24"/>
                      <w:highlight w:val="none"/>
                      <w14:textFill>
                        <w14:solidFill>
                          <w14:schemeClr w14:val="tx1"/>
                        </w14:solidFill>
                      </w14:textFill>
                    </w:rPr>
                    <w:t>应</w:t>
                  </w:r>
                  <w:r>
                    <w:rPr>
                      <w:rFonts w:hint="eastAsia" w:ascii="宋体" w:hAnsi="宋体" w:eastAsia="宋体"/>
                      <w:color w:val="000000" w:themeColor="text1"/>
                      <w:spacing w:val="6"/>
                      <w:sz w:val="21"/>
                      <w:szCs w:val="24"/>
                      <w:highlight w:val="none"/>
                      <w14:textFill>
                        <w14:solidFill>
                          <w14:schemeClr w14:val="tx1"/>
                        </w14:solidFill>
                      </w14:textFill>
                    </w:rPr>
                    <w:t>采</w:t>
                  </w:r>
                  <w:r>
                    <w:rPr>
                      <w:rFonts w:hint="eastAsia" w:ascii="宋体" w:hAnsi="宋体" w:eastAsia="宋体"/>
                      <w:color w:val="000000" w:themeColor="text1"/>
                      <w:spacing w:val="4"/>
                      <w:sz w:val="21"/>
                      <w:szCs w:val="24"/>
                      <w:highlight w:val="none"/>
                      <w14:textFill>
                        <w14:solidFill>
                          <w14:schemeClr w14:val="tx1"/>
                        </w14:solidFill>
                      </w14:textFill>
                    </w:rPr>
                    <w:t>取相</w:t>
                  </w:r>
                  <w:r>
                    <w:rPr>
                      <w:rFonts w:hint="eastAsia" w:ascii="宋体" w:hAnsi="宋体" w:eastAsia="宋体"/>
                      <w:color w:val="000000" w:themeColor="text1"/>
                      <w:spacing w:val="6"/>
                      <w:sz w:val="21"/>
                      <w:szCs w:val="24"/>
                      <w:highlight w:val="none"/>
                      <w14:textFill>
                        <w14:solidFill>
                          <w14:schemeClr w14:val="tx1"/>
                        </w14:solidFill>
                      </w14:textFill>
                    </w:rPr>
                    <w:t>应</w:t>
                  </w:r>
                  <w:r>
                    <w:rPr>
                      <w:rFonts w:hint="eastAsia" w:ascii="宋体" w:hAnsi="宋体" w:eastAsia="宋体"/>
                      <w:color w:val="000000" w:themeColor="text1"/>
                      <w:spacing w:val="4"/>
                      <w:sz w:val="21"/>
                      <w:szCs w:val="24"/>
                      <w:highlight w:val="none"/>
                      <w14:textFill>
                        <w14:solidFill>
                          <w14:schemeClr w14:val="tx1"/>
                        </w14:solidFill>
                      </w14:textFill>
                    </w:rPr>
                    <w:t>的防</w:t>
                  </w:r>
                  <w:r>
                    <w:rPr>
                      <w:rFonts w:hint="eastAsia" w:ascii="宋体" w:hAnsi="宋体" w:eastAsia="宋体"/>
                      <w:color w:val="000000" w:themeColor="text1"/>
                      <w:spacing w:val="6"/>
                      <w:sz w:val="21"/>
                      <w:szCs w:val="24"/>
                      <w:highlight w:val="none"/>
                      <w14:textFill>
                        <w14:solidFill>
                          <w14:schemeClr w14:val="tx1"/>
                        </w14:solidFill>
                      </w14:textFill>
                    </w:rPr>
                    <w:t>渗</w:t>
                  </w:r>
                  <w:r>
                    <w:rPr>
                      <w:rFonts w:hint="eastAsia" w:ascii="宋体" w:hAnsi="宋体" w:eastAsia="宋体"/>
                      <w:color w:val="000000" w:themeColor="text1"/>
                      <w:spacing w:val="4"/>
                      <w:sz w:val="21"/>
                      <w:szCs w:val="24"/>
                      <w:highlight w:val="none"/>
                      <w14:textFill>
                        <w14:solidFill>
                          <w14:schemeClr w14:val="tx1"/>
                        </w14:solidFill>
                      </w14:textFill>
                    </w:rPr>
                    <w:t>措施</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6"/>
                      <w:sz w:val="21"/>
                      <w:szCs w:val="24"/>
                      <w:highlight w:val="none"/>
                      <w14:textFill>
                        <w14:solidFill>
                          <w14:schemeClr w14:val="tx1"/>
                        </w14:solidFill>
                      </w14:textFill>
                    </w:rPr>
                    <w:t>防</w:t>
                  </w:r>
                  <w:r>
                    <w:rPr>
                      <w:rFonts w:hint="eastAsia" w:ascii="宋体" w:hAnsi="宋体" w:eastAsia="宋体"/>
                      <w:color w:val="000000" w:themeColor="text1"/>
                      <w:spacing w:val="4"/>
                      <w:sz w:val="21"/>
                      <w:szCs w:val="24"/>
                      <w:highlight w:val="none"/>
                      <w14:textFill>
                        <w14:solidFill>
                          <w14:schemeClr w14:val="tx1"/>
                        </w14:solidFill>
                      </w14:textFill>
                    </w:rPr>
                    <w:t>止</w:t>
                  </w:r>
                  <w:r>
                    <w:rPr>
                      <w:rFonts w:hint="eastAsia" w:ascii="宋体" w:hAnsi="宋体" w:eastAsia="宋体"/>
                      <w:color w:val="000000" w:themeColor="text1"/>
                      <w:spacing w:val="6"/>
                      <w:sz w:val="21"/>
                      <w:szCs w:val="24"/>
                      <w:highlight w:val="none"/>
                      <w14:textFill>
                        <w14:solidFill>
                          <w14:schemeClr w14:val="tx1"/>
                        </w14:solidFill>
                      </w14:textFill>
                    </w:rPr>
                    <w:t>由</w:t>
                  </w:r>
                  <w:r>
                    <w:rPr>
                      <w:rFonts w:hint="eastAsia" w:ascii="宋体" w:hAnsi="宋体" w:eastAsia="宋体"/>
                      <w:color w:val="000000" w:themeColor="text1"/>
                      <w:spacing w:val="4"/>
                      <w:sz w:val="21"/>
                      <w:szCs w:val="24"/>
                      <w:highlight w:val="none"/>
                      <w14:textFill>
                        <w14:solidFill>
                          <w14:schemeClr w14:val="tx1"/>
                        </w14:solidFill>
                      </w14:textFill>
                    </w:rPr>
                    <w:t>于跑</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冒、</w:t>
                  </w:r>
                  <w:r>
                    <w:rPr>
                      <w:rFonts w:hint="eastAsia" w:ascii="宋体" w:hAnsi="宋体" w:eastAsia="宋体"/>
                      <w:color w:val="000000" w:themeColor="text1"/>
                      <w:spacing w:val="6"/>
                      <w:sz w:val="21"/>
                      <w:szCs w:val="24"/>
                      <w:highlight w:val="none"/>
                      <w14:textFill>
                        <w14:solidFill>
                          <w14:schemeClr w14:val="tx1"/>
                        </w14:solidFill>
                      </w14:textFill>
                    </w:rPr>
                    <w:t>滴</w:t>
                  </w:r>
                  <w:r>
                    <w:rPr>
                      <w:rFonts w:hint="eastAsia" w:ascii="宋体" w:hAnsi="宋体" w:eastAsia="宋体"/>
                      <w:color w:val="000000" w:themeColor="text1"/>
                      <w:spacing w:val="4"/>
                      <w:sz w:val="21"/>
                      <w:szCs w:val="24"/>
                      <w:highlight w:val="none"/>
                      <w14:textFill>
                        <w14:solidFill>
                          <w14:schemeClr w14:val="tx1"/>
                        </w14:solidFill>
                      </w14:textFill>
                    </w:rPr>
                    <w:t>、漏</w:t>
                  </w:r>
                  <w:r>
                    <w:rPr>
                      <w:rFonts w:hint="eastAsia" w:ascii="宋体" w:hAnsi="宋体" w:eastAsia="宋体"/>
                      <w:color w:val="000000" w:themeColor="text1"/>
                      <w:sz w:val="21"/>
                      <w:szCs w:val="24"/>
                      <w:highlight w:val="none"/>
                      <w14:textFill>
                        <w14:solidFill>
                          <w14:schemeClr w14:val="tx1"/>
                        </w14:solidFill>
                      </w14:textFill>
                    </w:rPr>
                    <w:t>造成区</w:t>
                  </w:r>
                  <w:r>
                    <w:rPr>
                      <w:rFonts w:hint="eastAsia" w:ascii="宋体" w:hAnsi="宋体" w:eastAsia="宋体"/>
                      <w:color w:val="000000" w:themeColor="text1"/>
                      <w:spacing w:val="-3"/>
                      <w:sz w:val="21"/>
                      <w:szCs w:val="24"/>
                      <w:highlight w:val="none"/>
                      <w14:textFill>
                        <w14:solidFill>
                          <w14:schemeClr w14:val="tx1"/>
                        </w14:solidFill>
                      </w14:textFill>
                    </w:rPr>
                    <w:t>域</w:t>
                  </w:r>
                  <w:r>
                    <w:rPr>
                      <w:rFonts w:hint="eastAsia" w:ascii="宋体" w:hAnsi="宋体" w:eastAsia="宋体"/>
                      <w:color w:val="000000" w:themeColor="text1"/>
                      <w:sz w:val="21"/>
                      <w:szCs w:val="24"/>
                      <w:highlight w:val="none"/>
                      <w14:textFill>
                        <w14:solidFill>
                          <w14:schemeClr w14:val="tx1"/>
                        </w14:solidFill>
                      </w14:textFill>
                    </w:rPr>
                    <w:t>地</w:t>
                  </w:r>
                  <w:r>
                    <w:rPr>
                      <w:rFonts w:hint="eastAsia" w:ascii="宋体" w:hAnsi="宋体" w:eastAsia="宋体"/>
                      <w:color w:val="000000" w:themeColor="text1"/>
                      <w:spacing w:val="-3"/>
                      <w:sz w:val="21"/>
                      <w:szCs w:val="24"/>
                      <w:highlight w:val="none"/>
                      <w14:textFill>
                        <w14:solidFill>
                          <w14:schemeClr w14:val="tx1"/>
                        </w14:solidFill>
                      </w14:textFill>
                    </w:rPr>
                    <w:t>下</w:t>
                  </w:r>
                  <w:r>
                    <w:rPr>
                      <w:rFonts w:hint="eastAsia" w:ascii="宋体" w:hAnsi="宋体" w:eastAsia="宋体"/>
                      <w:color w:val="000000" w:themeColor="text1"/>
                      <w:sz w:val="21"/>
                      <w:szCs w:val="24"/>
                      <w:highlight w:val="none"/>
                      <w14:textFill>
                        <w14:solidFill>
                          <w14:schemeClr w14:val="tx1"/>
                        </w14:solidFill>
                      </w14:textFill>
                    </w:rPr>
                    <w:t>水</w:t>
                  </w:r>
                  <w:r>
                    <w:rPr>
                      <w:rFonts w:hint="eastAsia" w:ascii="宋体" w:hAnsi="宋体" w:eastAsia="宋体"/>
                      <w:color w:val="000000" w:themeColor="text1"/>
                      <w:spacing w:val="-3"/>
                      <w:sz w:val="21"/>
                      <w:szCs w:val="24"/>
                      <w:highlight w:val="none"/>
                      <w14:textFill>
                        <w14:solidFill>
                          <w14:schemeClr w14:val="tx1"/>
                        </w14:solidFill>
                      </w14:textFill>
                    </w:rPr>
                    <w:t>污</w:t>
                  </w:r>
                  <w:r>
                    <w:rPr>
                      <w:rFonts w:hint="eastAsia" w:ascii="宋体" w:hAnsi="宋体" w:eastAsia="宋体"/>
                      <w:color w:val="000000" w:themeColor="text1"/>
                      <w:sz w:val="21"/>
                      <w:szCs w:val="24"/>
                      <w:highlight w:val="none"/>
                      <w14:textFill>
                        <w14:solidFill>
                          <w14:schemeClr w14:val="tx1"/>
                        </w14:solidFill>
                      </w14:textFill>
                    </w:rPr>
                    <w:t>染。</w:t>
                  </w:r>
                </w:p>
              </w:tc>
              <w:tc>
                <w:tcPr>
                  <w:tcW w:w="2555" w:type="dxa"/>
                  <w:tcBorders>
                    <w:tl2br w:val="nil"/>
                    <w:tr2bl w:val="nil"/>
                  </w:tcBorders>
                  <w:noWrap w:val="0"/>
                  <w:vAlign w:val="center"/>
                </w:tcPr>
                <w:p w14:paraId="58EEC68D">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本项</w:t>
                  </w:r>
                  <w:r>
                    <w:rPr>
                      <w:rFonts w:hint="eastAsia" w:ascii="宋体" w:hAnsi="宋体" w:eastAsia="宋体"/>
                      <w:color w:val="000000" w:themeColor="text1"/>
                      <w:spacing w:val="-3"/>
                      <w:sz w:val="21"/>
                      <w:szCs w:val="24"/>
                      <w:highlight w:val="none"/>
                      <w14:textFill>
                        <w14:solidFill>
                          <w14:schemeClr w14:val="tx1"/>
                        </w14:solidFill>
                      </w14:textFill>
                    </w:rPr>
                    <w:t>目</w:t>
                  </w:r>
                  <w:r>
                    <w:rPr>
                      <w:rFonts w:hint="eastAsia" w:ascii="宋体" w:hAnsi="宋体" w:eastAsia="宋体"/>
                      <w:color w:val="000000" w:themeColor="text1"/>
                      <w:sz w:val="21"/>
                      <w:szCs w:val="24"/>
                      <w:highlight w:val="none"/>
                      <w14:textFill>
                        <w14:solidFill>
                          <w14:schemeClr w14:val="tx1"/>
                        </w14:solidFill>
                      </w14:textFill>
                    </w:rPr>
                    <w:t>采</w:t>
                  </w:r>
                  <w:r>
                    <w:rPr>
                      <w:rFonts w:hint="eastAsia" w:ascii="宋体" w:hAnsi="宋体" w:eastAsia="宋体"/>
                      <w:color w:val="000000" w:themeColor="text1"/>
                      <w:spacing w:val="-3"/>
                      <w:sz w:val="21"/>
                      <w:szCs w:val="24"/>
                      <w:highlight w:val="none"/>
                      <w14:textFill>
                        <w14:solidFill>
                          <w14:schemeClr w14:val="tx1"/>
                        </w14:solidFill>
                      </w14:textFill>
                    </w:rPr>
                    <w:t>取</w:t>
                  </w:r>
                  <w:r>
                    <w:rPr>
                      <w:rFonts w:hint="eastAsia" w:ascii="宋体" w:hAnsi="宋体" w:eastAsia="宋体"/>
                      <w:color w:val="000000" w:themeColor="text1"/>
                      <w:spacing w:val="-3"/>
                      <w:sz w:val="21"/>
                      <w:szCs w:val="24"/>
                      <w:highlight w:val="none"/>
                      <w:lang w:eastAsia="zh-CN"/>
                      <w14:textFill>
                        <w14:solidFill>
                          <w14:schemeClr w14:val="tx1"/>
                        </w14:solidFill>
                      </w14:textFill>
                    </w:rPr>
                    <w:t>源头控制</w:t>
                  </w:r>
                  <w:r>
                    <w:rPr>
                      <w:rFonts w:hint="eastAsia" w:ascii="宋体" w:hAnsi="宋体" w:eastAsia="宋体"/>
                      <w:color w:val="000000" w:themeColor="text1"/>
                      <w:spacing w:val="-3"/>
                      <w:sz w:val="21"/>
                      <w:szCs w:val="24"/>
                      <w:highlight w:val="none"/>
                      <w:lang w:val="en-US" w:eastAsia="zh-CN"/>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分</w:t>
                  </w:r>
                  <w:r>
                    <w:rPr>
                      <w:rFonts w:hint="eastAsia" w:ascii="宋体" w:hAnsi="宋体" w:eastAsia="宋体"/>
                      <w:color w:val="000000" w:themeColor="text1"/>
                      <w:spacing w:val="-3"/>
                      <w:sz w:val="21"/>
                      <w:szCs w:val="24"/>
                      <w:highlight w:val="none"/>
                      <w14:textFill>
                        <w14:solidFill>
                          <w14:schemeClr w14:val="tx1"/>
                        </w14:solidFill>
                      </w14:textFill>
                    </w:rPr>
                    <w:t>区</w:t>
                  </w:r>
                  <w:r>
                    <w:rPr>
                      <w:rFonts w:hint="eastAsia" w:ascii="宋体" w:hAnsi="宋体" w:eastAsia="宋体"/>
                      <w:color w:val="000000" w:themeColor="text1"/>
                      <w:sz w:val="21"/>
                      <w:szCs w:val="24"/>
                      <w:highlight w:val="none"/>
                      <w14:textFill>
                        <w14:solidFill>
                          <w14:schemeClr w14:val="tx1"/>
                        </w14:solidFill>
                      </w14:textFill>
                    </w:rPr>
                    <w:t>防</w:t>
                  </w:r>
                  <w:r>
                    <w:rPr>
                      <w:rFonts w:hint="eastAsia" w:ascii="宋体" w:hAnsi="宋体" w:eastAsia="宋体"/>
                      <w:color w:val="000000" w:themeColor="text1"/>
                      <w:spacing w:val="-3"/>
                      <w:sz w:val="21"/>
                      <w:szCs w:val="24"/>
                      <w:highlight w:val="none"/>
                      <w14:textFill>
                        <w14:solidFill>
                          <w14:schemeClr w14:val="tx1"/>
                        </w14:solidFill>
                      </w14:textFill>
                    </w:rPr>
                    <w:t>渗</w:t>
                  </w:r>
                  <w:r>
                    <w:rPr>
                      <w:rFonts w:hint="eastAsia" w:ascii="宋体" w:hAnsi="宋体" w:eastAsia="宋体"/>
                      <w:color w:val="000000" w:themeColor="text1"/>
                      <w:sz w:val="21"/>
                      <w:szCs w:val="24"/>
                      <w:highlight w:val="none"/>
                      <w14:textFill>
                        <w14:solidFill>
                          <w14:schemeClr w14:val="tx1"/>
                        </w14:solidFill>
                      </w14:textFill>
                    </w:rPr>
                    <w:t>措施，</w:t>
                  </w:r>
                  <w:r>
                    <w:rPr>
                      <w:rFonts w:hint="eastAsia" w:ascii="宋体" w:hAnsi="宋体" w:eastAsia="宋体"/>
                      <w:color w:val="000000" w:themeColor="text1"/>
                      <w:spacing w:val="-3"/>
                      <w:sz w:val="21"/>
                      <w:szCs w:val="24"/>
                      <w:highlight w:val="none"/>
                      <w14:textFill>
                        <w14:solidFill>
                          <w14:schemeClr w14:val="tx1"/>
                        </w14:solidFill>
                      </w14:textFill>
                    </w:rPr>
                    <w:t>分</w:t>
                  </w:r>
                  <w:r>
                    <w:rPr>
                      <w:rFonts w:hint="eastAsia" w:ascii="宋体" w:hAnsi="宋体" w:eastAsia="宋体"/>
                      <w:color w:val="000000" w:themeColor="text1"/>
                      <w:sz w:val="21"/>
                      <w:szCs w:val="24"/>
                      <w:highlight w:val="none"/>
                      <w14:textFill>
                        <w14:solidFill>
                          <w14:schemeClr w14:val="tx1"/>
                        </w14:solidFill>
                      </w14:textFill>
                    </w:rPr>
                    <w:t>为</w:t>
                  </w:r>
                  <w:r>
                    <w:rPr>
                      <w:rFonts w:hint="eastAsia" w:ascii="宋体" w:hAnsi="宋体" w:eastAsia="宋体"/>
                      <w:color w:val="000000" w:themeColor="text1"/>
                      <w:spacing w:val="-3"/>
                      <w:sz w:val="21"/>
                      <w:szCs w:val="24"/>
                      <w:highlight w:val="none"/>
                      <w14:textFill>
                        <w14:solidFill>
                          <w14:schemeClr w14:val="tx1"/>
                        </w14:solidFill>
                      </w14:textFill>
                    </w:rPr>
                    <w:t>重</w:t>
                  </w:r>
                  <w:r>
                    <w:rPr>
                      <w:rFonts w:hint="eastAsia" w:ascii="宋体" w:hAnsi="宋体" w:eastAsia="宋体"/>
                      <w:color w:val="000000" w:themeColor="text1"/>
                      <w:sz w:val="21"/>
                      <w:szCs w:val="24"/>
                      <w:highlight w:val="none"/>
                      <w14:textFill>
                        <w14:solidFill>
                          <w14:schemeClr w14:val="tx1"/>
                        </w14:solidFill>
                      </w14:textFill>
                    </w:rPr>
                    <w:t>点</w:t>
                  </w:r>
                  <w:r>
                    <w:rPr>
                      <w:rFonts w:hint="eastAsia" w:ascii="宋体" w:hAnsi="宋体" w:eastAsia="宋体"/>
                      <w:color w:val="000000" w:themeColor="text1"/>
                      <w:spacing w:val="-3"/>
                      <w:sz w:val="21"/>
                      <w:szCs w:val="24"/>
                      <w:highlight w:val="none"/>
                      <w14:textFill>
                        <w14:solidFill>
                          <w14:schemeClr w14:val="tx1"/>
                        </w14:solidFill>
                      </w14:textFill>
                    </w:rPr>
                    <w:t>防</w:t>
                  </w:r>
                  <w:r>
                    <w:rPr>
                      <w:rFonts w:hint="eastAsia" w:ascii="宋体" w:hAnsi="宋体" w:eastAsia="宋体"/>
                      <w:color w:val="000000" w:themeColor="text1"/>
                      <w:sz w:val="21"/>
                      <w:szCs w:val="24"/>
                      <w:highlight w:val="none"/>
                      <w14:textFill>
                        <w14:solidFill>
                          <w14:schemeClr w14:val="tx1"/>
                        </w14:solidFill>
                      </w14:textFill>
                    </w:rPr>
                    <w:t>渗</w:t>
                  </w:r>
                  <w:r>
                    <w:rPr>
                      <w:rFonts w:hint="eastAsia" w:ascii="宋体" w:hAnsi="宋体" w:eastAsia="宋体"/>
                      <w:color w:val="000000" w:themeColor="text1"/>
                      <w:spacing w:val="-3"/>
                      <w:sz w:val="21"/>
                      <w:szCs w:val="24"/>
                      <w:highlight w:val="none"/>
                      <w14:textFill>
                        <w14:solidFill>
                          <w14:schemeClr w14:val="tx1"/>
                        </w14:solidFill>
                      </w14:textFill>
                    </w:rPr>
                    <w:t>区</w:t>
                  </w:r>
                  <w:r>
                    <w:rPr>
                      <w:rFonts w:hint="eastAsia" w:ascii="宋体" w:hAnsi="宋体" w:eastAsia="宋体"/>
                      <w:color w:val="000000" w:themeColor="text1"/>
                      <w:sz w:val="21"/>
                      <w:szCs w:val="24"/>
                      <w:highlight w:val="none"/>
                      <w14:textFill>
                        <w14:solidFill>
                          <w14:schemeClr w14:val="tx1"/>
                        </w14:solidFill>
                      </w14:textFill>
                    </w:rPr>
                    <w:t>、一般</w:t>
                  </w:r>
                  <w:r>
                    <w:rPr>
                      <w:rFonts w:hint="eastAsia" w:ascii="宋体" w:hAnsi="宋体" w:eastAsia="宋体"/>
                      <w:color w:val="000000" w:themeColor="text1"/>
                      <w:spacing w:val="-3"/>
                      <w:sz w:val="21"/>
                      <w:szCs w:val="24"/>
                      <w:highlight w:val="none"/>
                      <w14:textFill>
                        <w14:solidFill>
                          <w14:schemeClr w14:val="tx1"/>
                        </w14:solidFill>
                      </w14:textFill>
                    </w:rPr>
                    <w:t>防</w:t>
                  </w:r>
                  <w:r>
                    <w:rPr>
                      <w:rFonts w:hint="eastAsia" w:ascii="宋体" w:hAnsi="宋体" w:eastAsia="宋体"/>
                      <w:color w:val="000000" w:themeColor="text1"/>
                      <w:sz w:val="21"/>
                      <w:szCs w:val="24"/>
                      <w:highlight w:val="none"/>
                      <w14:textFill>
                        <w14:solidFill>
                          <w14:schemeClr w14:val="tx1"/>
                        </w14:solidFill>
                      </w14:textFill>
                    </w:rPr>
                    <w:t>渗</w:t>
                  </w:r>
                  <w:r>
                    <w:rPr>
                      <w:rFonts w:hint="eastAsia" w:ascii="宋体" w:hAnsi="宋体" w:eastAsia="宋体"/>
                      <w:color w:val="000000" w:themeColor="text1"/>
                      <w:spacing w:val="-3"/>
                      <w:sz w:val="21"/>
                      <w:szCs w:val="24"/>
                      <w:highlight w:val="none"/>
                      <w14:textFill>
                        <w14:solidFill>
                          <w14:schemeClr w14:val="tx1"/>
                        </w14:solidFill>
                      </w14:textFill>
                    </w:rPr>
                    <w:t>区</w:t>
                  </w:r>
                  <w:r>
                    <w:rPr>
                      <w:rFonts w:hint="eastAsia" w:ascii="宋体" w:hAnsi="宋体" w:eastAsia="宋体"/>
                      <w:color w:val="000000" w:themeColor="text1"/>
                      <w:sz w:val="21"/>
                      <w:szCs w:val="24"/>
                      <w:highlight w:val="none"/>
                      <w14:textFill>
                        <w14:solidFill>
                          <w14:schemeClr w14:val="tx1"/>
                        </w14:solidFill>
                      </w14:textFill>
                    </w:rPr>
                    <w:t>和</w:t>
                  </w:r>
                  <w:r>
                    <w:rPr>
                      <w:rFonts w:hint="eastAsia" w:ascii="宋体" w:hAnsi="宋体" w:eastAsia="宋体"/>
                      <w:color w:val="000000" w:themeColor="text1"/>
                      <w:spacing w:val="-3"/>
                      <w:sz w:val="21"/>
                      <w:szCs w:val="24"/>
                      <w:highlight w:val="none"/>
                      <w14:textFill>
                        <w14:solidFill>
                          <w14:schemeClr w14:val="tx1"/>
                        </w14:solidFill>
                      </w14:textFill>
                    </w:rPr>
                    <w:t>简</w:t>
                  </w:r>
                  <w:r>
                    <w:rPr>
                      <w:rFonts w:hint="eastAsia" w:ascii="宋体" w:hAnsi="宋体" w:eastAsia="宋体"/>
                      <w:color w:val="000000" w:themeColor="text1"/>
                      <w:sz w:val="21"/>
                      <w:szCs w:val="24"/>
                      <w:highlight w:val="none"/>
                      <w14:textFill>
                        <w14:solidFill>
                          <w14:schemeClr w14:val="tx1"/>
                        </w14:solidFill>
                      </w14:textFill>
                    </w:rPr>
                    <w:t>单</w:t>
                  </w:r>
                  <w:r>
                    <w:rPr>
                      <w:rFonts w:hint="eastAsia" w:ascii="宋体" w:hAnsi="宋体" w:eastAsia="宋体"/>
                      <w:color w:val="000000" w:themeColor="text1"/>
                      <w:spacing w:val="-3"/>
                      <w:sz w:val="21"/>
                      <w:szCs w:val="24"/>
                      <w:highlight w:val="none"/>
                      <w14:textFill>
                        <w14:solidFill>
                          <w14:schemeClr w14:val="tx1"/>
                        </w14:solidFill>
                      </w14:textFill>
                    </w:rPr>
                    <w:t>防</w:t>
                  </w:r>
                  <w:r>
                    <w:rPr>
                      <w:rFonts w:hint="eastAsia" w:ascii="宋体" w:hAnsi="宋体" w:eastAsia="宋体"/>
                      <w:color w:val="000000" w:themeColor="text1"/>
                      <w:sz w:val="21"/>
                      <w:szCs w:val="24"/>
                      <w:highlight w:val="none"/>
                      <w14:textFill>
                        <w14:solidFill>
                          <w14:schemeClr w14:val="tx1"/>
                        </w14:solidFill>
                      </w14:textFill>
                    </w:rPr>
                    <w:t>渗区</w:t>
                  </w:r>
                  <w:r>
                    <w:rPr>
                      <w:rFonts w:hint="eastAsia" w:ascii="宋体" w:hAnsi="宋体" w:eastAsia="宋体"/>
                      <w:color w:val="000000" w:themeColor="text1"/>
                      <w:sz w:val="21"/>
                      <w:szCs w:val="24"/>
                      <w:highlight w:val="none"/>
                      <w:lang w:eastAsia="zh-CN"/>
                      <w14:textFill>
                        <w14:solidFill>
                          <w14:schemeClr w14:val="tx1"/>
                        </w14:solidFill>
                      </w14:textFill>
                    </w:rPr>
                    <w:t>。</w:t>
                  </w:r>
                </w:p>
              </w:tc>
              <w:tc>
                <w:tcPr>
                  <w:tcW w:w="676" w:type="dxa"/>
                  <w:tcBorders>
                    <w:tl2br w:val="nil"/>
                    <w:tr2bl w:val="nil"/>
                  </w:tcBorders>
                  <w:noWrap w:val="0"/>
                  <w:vAlign w:val="center"/>
                </w:tcPr>
                <w:p w14:paraId="43D09CF7">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1003F4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6" w:type="dxa"/>
                  <w:tcBorders>
                    <w:tl2br w:val="nil"/>
                    <w:tr2bl w:val="nil"/>
                  </w:tcBorders>
                  <w:noWrap w:val="0"/>
                  <w:vAlign w:val="center"/>
                </w:tcPr>
                <w:p w14:paraId="6862E8CA">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大气污染防治措施</w:t>
                  </w:r>
                </w:p>
              </w:tc>
              <w:tc>
                <w:tcPr>
                  <w:tcW w:w="2953" w:type="dxa"/>
                  <w:tcBorders>
                    <w:tl2br w:val="nil"/>
                    <w:tr2bl w:val="nil"/>
                  </w:tcBorders>
                  <w:noWrap w:val="0"/>
                  <w:vAlign w:val="center"/>
                </w:tcPr>
                <w:p w14:paraId="3535DE67">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pacing w:val="6"/>
                      <w:sz w:val="21"/>
                      <w:szCs w:val="24"/>
                      <w:highlight w:val="none"/>
                      <w14:textFill>
                        <w14:solidFill>
                          <w14:schemeClr w14:val="tx1"/>
                        </w14:solidFill>
                      </w14:textFill>
                    </w:rPr>
                    <w:t>引</w:t>
                  </w:r>
                  <w:r>
                    <w:rPr>
                      <w:rFonts w:hint="eastAsia" w:ascii="宋体" w:hAnsi="宋体" w:eastAsia="宋体"/>
                      <w:color w:val="000000" w:themeColor="text1"/>
                      <w:spacing w:val="4"/>
                      <w:sz w:val="21"/>
                      <w:szCs w:val="24"/>
                      <w:highlight w:val="none"/>
                      <w14:textFill>
                        <w14:solidFill>
                          <w14:schemeClr w14:val="tx1"/>
                        </w14:solidFill>
                      </w14:textFill>
                    </w:rPr>
                    <w:t>进</w:t>
                  </w:r>
                  <w:r>
                    <w:rPr>
                      <w:rFonts w:hint="eastAsia" w:ascii="宋体" w:hAnsi="宋体" w:eastAsia="宋体"/>
                      <w:color w:val="000000" w:themeColor="text1"/>
                      <w:spacing w:val="6"/>
                      <w:sz w:val="21"/>
                      <w:szCs w:val="24"/>
                      <w:highlight w:val="none"/>
                      <w14:textFill>
                        <w14:solidFill>
                          <w14:schemeClr w14:val="tx1"/>
                        </w14:solidFill>
                      </w14:textFill>
                    </w:rPr>
                    <w:t>企</w:t>
                  </w:r>
                  <w:r>
                    <w:rPr>
                      <w:rFonts w:hint="eastAsia" w:ascii="宋体" w:hAnsi="宋体" w:eastAsia="宋体"/>
                      <w:color w:val="000000" w:themeColor="text1"/>
                      <w:spacing w:val="4"/>
                      <w:sz w:val="21"/>
                      <w:szCs w:val="24"/>
                      <w:highlight w:val="none"/>
                      <w14:textFill>
                        <w14:solidFill>
                          <w14:schemeClr w14:val="tx1"/>
                        </w14:solidFill>
                      </w14:textFill>
                    </w:rPr>
                    <w:t>业必</w:t>
                  </w:r>
                  <w:r>
                    <w:rPr>
                      <w:rFonts w:hint="eastAsia" w:ascii="宋体" w:hAnsi="宋体" w:eastAsia="宋体"/>
                      <w:color w:val="000000" w:themeColor="text1"/>
                      <w:spacing w:val="6"/>
                      <w:sz w:val="21"/>
                      <w:szCs w:val="24"/>
                      <w:highlight w:val="none"/>
                      <w14:textFill>
                        <w14:solidFill>
                          <w14:schemeClr w14:val="tx1"/>
                        </w14:solidFill>
                      </w14:textFill>
                    </w:rPr>
                    <w:t>须</w:t>
                  </w:r>
                  <w:r>
                    <w:rPr>
                      <w:rFonts w:hint="eastAsia" w:ascii="宋体" w:hAnsi="宋体" w:eastAsia="宋体"/>
                      <w:color w:val="000000" w:themeColor="text1"/>
                      <w:spacing w:val="4"/>
                      <w:sz w:val="21"/>
                      <w:szCs w:val="24"/>
                      <w:highlight w:val="none"/>
                      <w14:textFill>
                        <w14:solidFill>
                          <w14:schemeClr w14:val="tx1"/>
                        </w14:solidFill>
                      </w14:textFill>
                    </w:rPr>
                    <w:t>采取</w:t>
                  </w:r>
                  <w:r>
                    <w:rPr>
                      <w:rFonts w:hint="eastAsia" w:ascii="宋体" w:hAnsi="宋体" w:eastAsia="宋体"/>
                      <w:color w:val="000000" w:themeColor="text1"/>
                      <w:spacing w:val="6"/>
                      <w:sz w:val="21"/>
                      <w:szCs w:val="24"/>
                      <w:highlight w:val="none"/>
                      <w14:textFill>
                        <w14:solidFill>
                          <w14:schemeClr w14:val="tx1"/>
                        </w14:solidFill>
                      </w14:textFill>
                    </w:rPr>
                    <w:t>先</w:t>
                  </w:r>
                  <w:r>
                    <w:rPr>
                      <w:rFonts w:hint="eastAsia" w:ascii="宋体" w:hAnsi="宋体" w:eastAsia="宋体"/>
                      <w:color w:val="000000" w:themeColor="text1"/>
                      <w:spacing w:val="4"/>
                      <w:sz w:val="21"/>
                      <w:szCs w:val="24"/>
                      <w:highlight w:val="none"/>
                      <w14:textFill>
                        <w14:solidFill>
                          <w14:schemeClr w14:val="tx1"/>
                        </w14:solidFill>
                      </w14:textFill>
                    </w:rPr>
                    <w:t>进、</w:t>
                  </w:r>
                  <w:r>
                    <w:rPr>
                      <w:rFonts w:hint="eastAsia" w:ascii="宋体" w:hAnsi="宋体" w:eastAsia="宋体"/>
                      <w:color w:val="000000" w:themeColor="text1"/>
                      <w:sz w:val="21"/>
                      <w:szCs w:val="24"/>
                      <w:highlight w:val="none"/>
                      <w14:textFill>
                        <w14:solidFill>
                          <w14:schemeClr w14:val="tx1"/>
                        </w14:solidFill>
                      </w14:textFill>
                    </w:rPr>
                    <w:t>可</w:t>
                  </w:r>
                  <w:r>
                    <w:rPr>
                      <w:rFonts w:hint="eastAsia" w:ascii="宋体" w:hAnsi="宋体" w:eastAsia="宋体"/>
                      <w:color w:val="000000" w:themeColor="text1"/>
                      <w:spacing w:val="6"/>
                      <w:sz w:val="21"/>
                      <w:szCs w:val="24"/>
                      <w:highlight w:val="none"/>
                      <w14:textFill>
                        <w14:solidFill>
                          <w14:schemeClr w14:val="tx1"/>
                        </w14:solidFill>
                      </w14:textFill>
                    </w:rPr>
                    <w:t>靠</w:t>
                  </w:r>
                  <w:r>
                    <w:rPr>
                      <w:rFonts w:hint="eastAsia" w:ascii="宋体" w:hAnsi="宋体" w:eastAsia="宋体"/>
                      <w:color w:val="000000" w:themeColor="text1"/>
                      <w:spacing w:val="4"/>
                      <w:sz w:val="21"/>
                      <w:szCs w:val="24"/>
                      <w:highlight w:val="none"/>
                      <w14:textFill>
                        <w14:solidFill>
                          <w14:schemeClr w14:val="tx1"/>
                        </w14:solidFill>
                      </w14:textFill>
                    </w:rPr>
                    <w:t>治</w:t>
                  </w:r>
                  <w:r>
                    <w:rPr>
                      <w:rFonts w:hint="eastAsia" w:ascii="宋体" w:hAnsi="宋体" w:eastAsia="宋体"/>
                      <w:color w:val="000000" w:themeColor="text1"/>
                      <w:spacing w:val="6"/>
                      <w:sz w:val="21"/>
                      <w:szCs w:val="24"/>
                      <w:highlight w:val="none"/>
                      <w14:textFill>
                        <w14:solidFill>
                          <w14:schemeClr w14:val="tx1"/>
                        </w14:solidFill>
                      </w14:textFill>
                    </w:rPr>
                    <w:t>理</w:t>
                  </w:r>
                  <w:r>
                    <w:rPr>
                      <w:rFonts w:hint="eastAsia" w:ascii="宋体" w:hAnsi="宋体" w:eastAsia="宋体"/>
                      <w:color w:val="000000" w:themeColor="text1"/>
                      <w:spacing w:val="4"/>
                      <w:sz w:val="21"/>
                      <w:szCs w:val="24"/>
                      <w:highlight w:val="none"/>
                      <w14:textFill>
                        <w14:solidFill>
                          <w14:schemeClr w14:val="tx1"/>
                        </w14:solidFill>
                      </w14:textFill>
                    </w:rPr>
                    <w:t>措施</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确保</w:t>
                  </w:r>
                  <w:r>
                    <w:rPr>
                      <w:rFonts w:hint="eastAsia" w:ascii="宋体" w:hAnsi="宋体" w:eastAsia="宋体"/>
                      <w:color w:val="000000" w:themeColor="text1"/>
                      <w:spacing w:val="6"/>
                      <w:sz w:val="21"/>
                      <w:szCs w:val="24"/>
                      <w:highlight w:val="none"/>
                      <w14:textFill>
                        <w14:solidFill>
                          <w14:schemeClr w14:val="tx1"/>
                        </w14:solidFill>
                      </w14:textFill>
                    </w:rPr>
                    <w:t>废</w:t>
                  </w:r>
                  <w:r>
                    <w:rPr>
                      <w:rFonts w:hint="eastAsia" w:ascii="宋体" w:hAnsi="宋体" w:eastAsia="宋体"/>
                      <w:color w:val="000000" w:themeColor="text1"/>
                      <w:spacing w:val="4"/>
                      <w:sz w:val="21"/>
                      <w:szCs w:val="24"/>
                      <w:highlight w:val="none"/>
                      <w14:textFill>
                        <w14:solidFill>
                          <w14:schemeClr w14:val="tx1"/>
                        </w14:solidFill>
                      </w14:textFill>
                    </w:rPr>
                    <w:t>气达</w:t>
                  </w:r>
                  <w:r>
                    <w:rPr>
                      <w:rFonts w:hint="eastAsia" w:ascii="宋体" w:hAnsi="宋体" w:eastAsia="宋体"/>
                      <w:color w:val="000000" w:themeColor="text1"/>
                      <w:sz w:val="21"/>
                      <w:szCs w:val="24"/>
                      <w:highlight w:val="none"/>
                      <w14:textFill>
                        <w14:solidFill>
                          <w14:schemeClr w14:val="tx1"/>
                        </w14:solidFill>
                      </w14:textFill>
                    </w:rPr>
                    <w:t>标</w:t>
                  </w:r>
                  <w:r>
                    <w:rPr>
                      <w:rFonts w:hint="eastAsia" w:ascii="宋体" w:hAnsi="宋体" w:eastAsia="宋体"/>
                      <w:color w:val="000000" w:themeColor="text1"/>
                      <w:spacing w:val="6"/>
                      <w:sz w:val="21"/>
                      <w:szCs w:val="24"/>
                      <w:highlight w:val="none"/>
                      <w14:textFill>
                        <w14:solidFill>
                          <w14:schemeClr w14:val="tx1"/>
                        </w14:solidFill>
                      </w14:textFill>
                    </w:rPr>
                    <w:t>排</w:t>
                  </w:r>
                  <w:r>
                    <w:rPr>
                      <w:rFonts w:hint="eastAsia" w:ascii="宋体" w:hAnsi="宋体" w:eastAsia="宋体"/>
                      <w:color w:val="000000" w:themeColor="text1"/>
                      <w:spacing w:val="4"/>
                      <w:sz w:val="21"/>
                      <w:szCs w:val="24"/>
                      <w:highlight w:val="none"/>
                      <w14:textFill>
                        <w14:solidFill>
                          <w14:schemeClr w14:val="tx1"/>
                        </w14:solidFill>
                      </w14:textFill>
                    </w:rPr>
                    <w:t>放</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各企</w:t>
                  </w:r>
                  <w:r>
                    <w:rPr>
                      <w:rFonts w:hint="eastAsia" w:ascii="宋体" w:hAnsi="宋体" w:eastAsia="宋体"/>
                      <w:color w:val="000000" w:themeColor="text1"/>
                      <w:spacing w:val="8"/>
                      <w:sz w:val="21"/>
                      <w:szCs w:val="24"/>
                      <w:highlight w:val="none"/>
                      <w14:textFill>
                        <w14:solidFill>
                          <w14:schemeClr w14:val="tx1"/>
                        </w14:solidFill>
                      </w14:textFill>
                    </w:rPr>
                    <w:t>业</w:t>
                  </w:r>
                  <w:r>
                    <w:rPr>
                      <w:rFonts w:hint="eastAsia" w:ascii="宋体" w:hAnsi="宋体" w:eastAsia="宋体"/>
                      <w:color w:val="000000" w:themeColor="text1"/>
                      <w:spacing w:val="4"/>
                      <w:sz w:val="21"/>
                      <w:szCs w:val="24"/>
                      <w:highlight w:val="none"/>
                      <w14:textFill>
                        <w14:solidFill>
                          <w14:schemeClr w14:val="tx1"/>
                        </w14:solidFill>
                      </w14:textFill>
                    </w:rPr>
                    <w:t>均需</w:t>
                  </w:r>
                  <w:r>
                    <w:rPr>
                      <w:rFonts w:hint="eastAsia" w:ascii="宋体" w:hAnsi="宋体" w:eastAsia="宋体"/>
                      <w:color w:val="000000" w:themeColor="text1"/>
                      <w:spacing w:val="6"/>
                      <w:sz w:val="21"/>
                      <w:szCs w:val="24"/>
                      <w:highlight w:val="none"/>
                      <w14:textFill>
                        <w14:solidFill>
                          <w14:schemeClr w14:val="tx1"/>
                        </w14:solidFill>
                      </w14:textFill>
                    </w:rPr>
                    <w:t>落</w:t>
                  </w:r>
                  <w:r>
                    <w:rPr>
                      <w:rFonts w:hint="eastAsia" w:ascii="宋体" w:hAnsi="宋体" w:eastAsia="宋体"/>
                      <w:color w:val="000000" w:themeColor="text1"/>
                      <w:spacing w:val="4"/>
                      <w:sz w:val="21"/>
                      <w:szCs w:val="24"/>
                      <w:highlight w:val="none"/>
                      <w14:textFill>
                        <w14:solidFill>
                          <w14:schemeClr w14:val="tx1"/>
                        </w14:solidFill>
                      </w14:textFill>
                    </w:rPr>
                    <w:t>实项</w:t>
                  </w:r>
                  <w:r>
                    <w:rPr>
                      <w:rFonts w:hint="eastAsia" w:ascii="宋体" w:hAnsi="宋体" w:eastAsia="宋体"/>
                      <w:color w:val="000000" w:themeColor="text1"/>
                      <w:sz w:val="21"/>
                      <w:szCs w:val="24"/>
                      <w:highlight w:val="none"/>
                      <w14:textFill>
                        <w14:solidFill>
                          <w14:schemeClr w14:val="tx1"/>
                        </w14:solidFill>
                      </w14:textFill>
                    </w:rPr>
                    <w:t>目</w:t>
                  </w:r>
                  <w:r>
                    <w:rPr>
                      <w:rFonts w:hint="eastAsia" w:ascii="宋体" w:hAnsi="宋体" w:eastAsia="宋体"/>
                      <w:color w:val="000000" w:themeColor="text1"/>
                      <w:spacing w:val="6"/>
                      <w:sz w:val="21"/>
                      <w:szCs w:val="24"/>
                      <w:highlight w:val="none"/>
                      <w14:textFill>
                        <w14:solidFill>
                          <w14:schemeClr w14:val="tx1"/>
                        </w14:solidFill>
                      </w14:textFill>
                    </w:rPr>
                    <w:t>环</w:t>
                  </w:r>
                  <w:r>
                    <w:rPr>
                      <w:rFonts w:hint="eastAsia" w:ascii="宋体" w:hAnsi="宋体" w:eastAsia="宋体"/>
                      <w:color w:val="000000" w:themeColor="text1"/>
                      <w:spacing w:val="4"/>
                      <w:sz w:val="21"/>
                      <w:szCs w:val="24"/>
                      <w:highlight w:val="none"/>
                      <w14:textFill>
                        <w14:solidFill>
                          <w14:schemeClr w14:val="tx1"/>
                        </w14:solidFill>
                      </w14:textFill>
                    </w:rPr>
                    <w:t>评</w:t>
                  </w:r>
                  <w:r>
                    <w:rPr>
                      <w:rFonts w:hint="eastAsia" w:ascii="宋体" w:hAnsi="宋体" w:eastAsia="宋体"/>
                      <w:color w:val="000000" w:themeColor="text1"/>
                      <w:spacing w:val="6"/>
                      <w:sz w:val="21"/>
                      <w:szCs w:val="24"/>
                      <w:highlight w:val="none"/>
                      <w14:textFill>
                        <w14:solidFill>
                          <w14:schemeClr w14:val="tx1"/>
                        </w14:solidFill>
                      </w14:textFill>
                    </w:rPr>
                    <w:t>提</w:t>
                  </w:r>
                  <w:r>
                    <w:rPr>
                      <w:rFonts w:hint="eastAsia" w:ascii="宋体" w:hAnsi="宋体" w:eastAsia="宋体"/>
                      <w:color w:val="000000" w:themeColor="text1"/>
                      <w:spacing w:val="4"/>
                      <w:sz w:val="21"/>
                      <w:szCs w:val="24"/>
                      <w:highlight w:val="none"/>
                      <w14:textFill>
                        <w14:solidFill>
                          <w14:schemeClr w14:val="tx1"/>
                        </w14:solidFill>
                      </w14:textFill>
                    </w:rPr>
                    <w:t>出的</w:t>
                  </w:r>
                  <w:r>
                    <w:rPr>
                      <w:rFonts w:hint="eastAsia" w:ascii="宋体" w:hAnsi="宋体" w:eastAsia="宋体"/>
                      <w:color w:val="000000" w:themeColor="text1"/>
                      <w:spacing w:val="6"/>
                      <w:sz w:val="21"/>
                      <w:szCs w:val="24"/>
                      <w:highlight w:val="none"/>
                      <w14:textFill>
                        <w14:solidFill>
                          <w14:schemeClr w14:val="tx1"/>
                        </w14:solidFill>
                      </w14:textFill>
                    </w:rPr>
                    <w:t>具</w:t>
                  </w:r>
                  <w:r>
                    <w:rPr>
                      <w:rFonts w:hint="eastAsia" w:ascii="宋体" w:hAnsi="宋体" w:eastAsia="宋体"/>
                      <w:color w:val="000000" w:themeColor="text1"/>
                      <w:spacing w:val="4"/>
                      <w:sz w:val="21"/>
                      <w:szCs w:val="24"/>
                      <w:highlight w:val="none"/>
                      <w14:textFill>
                        <w14:solidFill>
                          <w14:schemeClr w14:val="tx1"/>
                        </w14:solidFill>
                      </w14:textFill>
                    </w:rPr>
                    <w:t>体的</w:t>
                  </w:r>
                  <w:r>
                    <w:rPr>
                      <w:rFonts w:hint="eastAsia" w:ascii="宋体" w:hAnsi="宋体" w:eastAsia="宋体"/>
                      <w:color w:val="000000" w:themeColor="text1"/>
                      <w:spacing w:val="6"/>
                      <w:sz w:val="21"/>
                      <w:szCs w:val="24"/>
                      <w:highlight w:val="none"/>
                      <w14:textFill>
                        <w14:solidFill>
                          <w14:schemeClr w14:val="tx1"/>
                        </w14:solidFill>
                      </w14:textFill>
                    </w:rPr>
                    <w:t>环</w:t>
                  </w:r>
                  <w:r>
                    <w:rPr>
                      <w:rFonts w:hint="eastAsia" w:ascii="宋体" w:hAnsi="宋体" w:eastAsia="宋体"/>
                      <w:color w:val="000000" w:themeColor="text1"/>
                      <w:spacing w:val="4"/>
                      <w:sz w:val="21"/>
                      <w:szCs w:val="24"/>
                      <w:highlight w:val="none"/>
                      <w14:textFill>
                        <w14:solidFill>
                          <w14:schemeClr w14:val="tx1"/>
                        </w14:solidFill>
                      </w14:textFill>
                    </w:rPr>
                    <w:t>境保</w:t>
                  </w:r>
                  <w:r>
                    <w:rPr>
                      <w:rFonts w:hint="eastAsia" w:ascii="宋体" w:hAnsi="宋体" w:eastAsia="宋体"/>
                      <w:color w:val="000000" w:themeColor="text1"/>
                      <w:sz w:val="21"/>
                      <w:szCs w:val="24"/>
                      <w:highlight w:val="none"/>
                      <w14:textFill>
                        <w14:solidFill>
                          <w14:schemeClr w14:val="tx1"/>
                        </w14:solidFill>
                      </w14:textFill>
                    </w:rPr>
                    <w:t>护</w:t>
                  </w:r>
                  <w:r>
                    <w:rPr>
                      <w:rFonts w:hint="eastAsia" w:ascii="宋体" w:hAnsi="宋体" w:eastAsia="宋体"/>
                      <w:color w:val="000000" w:themeColor="text1"/>
                      <w:spacing w:val="6"/>
                      <w:sz w:val="21"/>
                      <w:szCs w:val="24"/>
                      <w:highlight w:val="none"/>
                      <w14:textFill>
                        <w14:solidFill>
                          <w14:schemeClr w14:val="tx1"/>
                        </w14:solidFill>
                      </w14:textFill>
                    </w:rPr>
                    <w:t>防</w:t>
                  </w:r>
                  <w:r>
                    <w:rPr>
                      <w:rFonts w:hint="eastAsia" w:ascii="宋体" w:hAnsi="宋体" w:eastAsia="宋体"/>
                      <w:color w:val="000000" w:themeColor="text1"/>
                      <w:spacing w:val="4"/>
                      <w:sz w:val="21"/>
                      <w:szCs w:val="24"/>
                      <w:highlight w:val="none"/>
                      <w14:textFill>
                        <w14:solidFill>
                          <w14:schemeClr w14:val="tx1"/>
                        </w14:solidFill>
                      </w14:textFill>
                    </w:rPr>
                    <w:t>护</w:t>
                  </w:r>
                  <w:r>
                    <w:rPr>
                      <w:rFonts w:hint="eastAsia" w:ascii="宋体" w:hAnsi="宋体" w:eastAsia="宋体"/>
                      <w:color w:val="000000" w:themeColor="text1"/>
                      <w:spacing w:val="6"/>
                      <w:sz w:val="21"/>
                      <w:szCs w:val="24"/>
                      <w:highlight w:val="none"/>
                      <w14:textFill>
                        <w14:solidFill>
                          <w14:schemeClr w14:val="tx1"/>
                        </w14:solidFill>
                      </w14:textFill>
                    </w:rPr>
                    <w:t>距</w:t>
                  </w:r>
                  <w:r>
                    <w:rPr>
                      <w:rFonts w:hint="eastAsia" w:ascii="宋体" w:hAnsi="宋体" w:eastAsia="宋体"/>
                      <w:color w:val="000000" w:themeColor="text1"/>
                      <w:spacing w:val="4"/>
                      <w:sz w:val="21"/>
                      <w:szCs w:val="24"/>
                      <w:highlight w:val="none"/>
                      <w14:textFill>
                        <w14:solidFill>
                          <w14:schemeClr w14:val="tx1"/>
                        </w14:solidFill>
                      </w14:textFill>
                    </w:rPr>
                    <w:t>离和</w:t>
                  </w:r>
                  <w:r>
                    <w:rPr>
                      <w:rFonts w:hint="eastAsia" w:ascii="宋体" w:hAnsi="宋体" w:eastAsia="宋体"/>
                      <w:color w:val="000000" w:themeColor="text1"/>
                      <w:spacing w:val="6"/>
                      <w:sz w:val="21"/>
                      <w:szCs w:val="24"/>
                      <w:highlight w:val="none"/>
                      <w14:textFill>
                        <w14:solidFill>
                          <w14:schemeClr w14:val="tx1"/>
                        </w14:solidFill>
                      </w14:textFill>
                    </w:rPr>
                    <w:t>大</w:t>
                  </w:r>
                  <w:r>
                    <w:rPr>
                      <w:rFonts w:hint="eastAsia" w:ascii="宋体" w:hAnsi="宋体" w:eastAsia="宋体"/>
                      <w:color w:val="000000" w:themeColor="text1"/>
                      <w:spacing w:val="4"/>
                      <w:sz w:val="21"/>
                      <w:szCs w:val="24"/>
                      <w:highlight w:val="none"/>
                      <w14:textFill>
                        <w14:solidFill>
                          <w14:schemeClr w14:val="tx1"/>
                        </w14:solidFill>
                      </w14:textFill>
                    </w:rPr>
                    <w:t>气防</w:t>
                  </w:r>
                  <w:r>
                    <w:rPr>
                      <w:rFonts w:hint="eastAsia" w:ascii="宋体" w:hAnsi="宋体" w:eastAsia="宋体"/>
                      <w:color w:val="000000" w:themeColor="text1"/>
                      <w:spacing w:val="6"/>
                      <w:sz w:val="21"/>
                      <w:szCs w:val="24"/>
                      <w:highlight w:val="none"/>
                      <w14:textFill>
                        <w14:solidFill>
                          <w14:schemeClr w14:val="tx1"/>
                        </w14:solidFill>
                      </w14:textFill>
                    </w:rPr>
                    <w:t>护</w:t>
                  </w:r>
                  <w:r>
                    <w:rPr>
                      <w:rFonts w:hint="eastAsia" w:ascii="宋体" w:hAnsi="宋体" w:eastAsia="宋体"/>
                      <w:color w:val="000000" w:themeColor="text1"/>
                      <w:spacing w:val="4"/>
                      <w:sz w:val="21"/>
                      <w:szCs w:val="24"/>
                      <w:highlight w:val="none"/>
                      <w14:textFill>
                        <w14:solidFill>
                          <w14:schemeClr w14:val="tx1"/>
                        </w14:solidFill>
                      </w14:textFill>
                    </w:rPr>
                    <w:t>距离</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6"/>
                      <w:sz w:val="21"/>
                      <w:szCs w:val="24"/>
                      <w:highlight w:val="none"/>
                      <w14:textFill>
                        <w14:solidFill>
                          <w14:schemeClr w14:val="tx1"/>
                        </w14:solidFill>
                      </w14:textFill>
                    </w:rPr>
                    <w:t>积</w:t>
                  </w:r>
                  <w:r>
                    <w:rPr>
                      <w:rFonts w:hint="eastAsia" w:ascii="宋体" w:hAnsi="宋体" w:eastAsia="宋体"/>
                      <w:color w:val="000000" w:themeColor="text1"/>
                      <w:spacing w:val="4"/>
                      <w:sz w:val="21"/>
                      <w:szCs w:val="24"/>
                      <w:highlight w:val="none"/>
                      <w14:textFill>
                        <w14:solidFill>
                          <w14:schemeClr w14:val="tx1"/>
                        </w14:solidFill>
                      </w14:textFill>
                    </w:rPr>
                    <w:t>极</w:t>
                  </w:r>
                  <w:r>
                    <w:rPr>
                      <w:rFonts w:hint="eastAsia" w:ascii="宋体" w:hAnsi="宋体" w:eastAsia="宋体"/>
                      <w:color w:val="000000" w:themeColor="text1"/>
                      <w:spacing w:val="6"/>
                      <w:sz w:val="21"/>
                      <w:szCs w:val="24"/>
                      <w:highlight w:val="none"/>
                      <w14:textFill>
                        <w14:solidFill>
                          <w14:schemeClr w14:val="tx1"/>
                        </w14:solidFill>
                      </w14:textFill>
                    </w:rPr>
                    <w:t>推</w:t>
                  </w:r>
                  <w:r>
                    <w:rPr>
                      <w:rFonts w:hint="eastAsia" w:ascii="宋体" w:hAnsi="宋体" w:eastAsia="宋体"/>
                      <w:color w:val="000000" w:themeColor="text1"/>
                      <w:spacing w:val="4"/>
                      <w:sz w:val="21"/>
                      <w:szCs w:val="24"/>
                      <w:highlight w:val="none"/>
                      <w14:textFill>
                        <w14:solidFill>
                          <w14:schemeClr w14:val="tx1"/>
                        </w14:solidFill>
                      </w14:textFill>
                    </w:rPr>
                    <w:t>行清</w:t>
                  </w:r>
                  <w:r>
                    <w:rPr>
                      <w:rFonts w:hint="eastAsia" w:ascii="宋体" w:hAnsi="宋体" w:eastAsia="宋体"/>
                      <w:color w:val="000000" w:themeColor="text1"/>
                      <w:spacing w:val="6"/>
                      <w:sz w:val="21"/>
                      <w:szCs w:val="24"/>
                      <w:highlight w:val="none"/>
                      <w14:textFill>
                        <w14:solidFill>
                          <w14:schemeClr w14:val="tx1"/>
                        </w14:solidFill>
                      </w14:textFill>
                    </w:rPr>
                    <w:t>洁</w:t>
                  </w:r>
                  <w:r>
                    <w:rPr>
                      <w:rFonts w:hint="eastAsia" w:ascii="宋体" w:hAnsi="宋体" w:eastAsia="宋体"/>
                      <w:color w:val="000000" w:themeColor="text1"/>
                      <w:spacing w:val="4"/>
                      <w:sz w:val="21"/>
                      <w:szCs w:val="24"/>
                      <w:highlight w:val="none"/>
                      <w14:textFill>
                        <w14:solidFill>
                          <w14:schemeClr w14:val="tx1"/>
                        </w14:solidFill>
                      </w14:textFill>
                    </w:rPr>
                    <w:t>能源</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入园</w:t>
                  </w:r>
                  <w:r>
                    <w:rPr>
                      <w:rFonts w:hint="eastAsia" w:ascii="宋体" w:hAnsi="宋体" w:eastAsia="宋体"/>
                      <w:color w:val="000000" w:themeColor="text1"/>
                      <w:sz w:val="21"/>
                      <w:szCs w:val="24"/>
                      <w:highlight w:val="none"/>
                      <w14:textFill>
                        <w14:solidFill>
                          <w14:schemeClr w14:val="tx1"/>
                        </w14:solidFill>
                      </w14:textFill>
                    </w:rPr>
                    <w:t>企</w:t>
                  </w:r>
                  <w:r>
                    <w:rPr>
                      <w:rFonts w:hint="eastAsia" w:ascii="宋体" w:hAnsi="宋体" w:eastAsia="宋体"/>
                      <w:color w:val="000000" w:themeColor="text1"/>
                      <w:spacing w:val="6"/>
                      <w:sz w:val="21"/>
                      <w:szCs w:val="24"/>
                      <w:highlight w:val="none"/>
                      <w14:textFill>
                        <w14:solidFill>
                          <w14:schemeClr w14:val="tx1"/>
                        </w14:solidFill>
                      </w14:textFill>
                    </w:rPr>
                    <w:t>业</w:t>
                  </w:r>
                  <w:r>
                    <w:rPr>
                      <w:rFonts w:hint="eastAsia" w:ascii="宋体" w:hAnsi="宋体" w:eastAsia="宋体"/>
                      <w:color w:val="000000" w:themeColor="text1"/>
                      <w:spacing w:val="4"/>
                      <w:sz w:val="21"/>
                      <w:szCs w:val="24"/>
                      <w:highlight w:val="none"/>
                      <w14:textFill>
                        <w14:solidFill>
                          <w14:schemeClr w14:val="tx1"/>
                        </w14:solidFill>
                      </w14:textFill>
                    </w:rPr>
                    <w:t>燃</w:t>
                  </w:r>
                  <w:r>
                    <w:rPr>
                      <w:rFonts w:hint="eastAsia" w:ascii="宋体" w:hAnsi="宋体" w:eastAsia="宋体"/>
                      <w:color w:val="000000" w:themeColor="text1"/>
                      <w:spacing w:val="6"/>
                      <w:sz w:val="21"/>
                      <w:szCs w:val="24"/>
                      <w:highlight w:val="none"/>
                      <w14:textFill>
                        <w14:solidFill>
                          <w14:schemeClr w14:val="tx1"/>
                        </w14:solidFill>
                      </w14:textFill>
                    </w:rPr>
                    <w:t>煤</w:t>
                  </w:r>
                  <w:r>
                    <w:rPr>
                      <w:rFonts w:hint="eastAsia" w:ascii="宋体" w:hAnsi="宋体" w:eastAsia="宋体"/>
                      <w:color w:val="000000" w:themeColor="text1"/>
                      <w:spacing w:val="4"/>
                      <w:sz w:val="21"/>
                      <w:szCs w:val="24"/>
                      <w:highlight w:val="none"/>
                      <w14:textFill>
                        <w14:solidFill>
                          <w14:schemeClr w14:val="tx1"/>
                        </w14:solidFill>
                      </w14:textFill>
                    </w:rPr>
                    <w:t>、轻</w:t>
                  </w:r>
                  <w:r>
                    <w:rPr>
                      <w:rFonts w:hint="eastAsia" w:ascii="宋体" w:hAnsi="宋体" w:eastAsia="宋体"/>
                      <w:color w:val="000000" w:themeColor="text1"/>
                      <w:spacing w:val="6"/>
                      <w:sz w:val="21"/>
                      <w:szCs w:val="24"/>
                      <w:highlight w:val="none"/>
                      <w14:textFill>
                        <w14:solidFill>
                          <w14:schemeClr w14:val="tx1"/>
                        </w14:solidFill>
                      </w14:textFill>
                    </w:rPr>
                    <w:t>质</w:t>
                  </w:r>
                  <w:r>
                    <w:rPr>
                      <w:rFonts w:hint="eastAsia" w:ascii="宋体" w:hAnsi="宋体" w:eastAsia="宋体"/>
                      <w:color w:val="000000" w:themeColor="text1"/>
                      <w:spacing w:val="4"/>
                      <w:sz w:val="21"/>
                      <w:szCs w:val="24"/>
                      <w:highlight w:val="none"/>
                      <w14:textFill>
                        <w14:solidFill>
                          <w14:schemeClr w14:val="tx1"/>
                        </w14:solidFill>
                      </w14:textFill>
                    </w:rPr>
                    <w:t>油锅</w:t>
                  </w:r>
                  <w:r>
                    <w:rPr>
                      <w:rFonts w:hint="eastAsia" w:ascii="宋体" w:hAnsi="宋体" w:eastAsia="宋体"/>
                      <w:color w:val="000000" w:themeColor="text1"/>
                      <w:spacing w:val="6"/>
                      <w:sz w:val="21"/>
                      <w:szCs w:val="24"/>
                      <w:highlight w:val="none"/>
                      <w14:textFill>
                        <w14:solidFill>
                          <w14:schemeClr w14:val="tx1"/>
                        </w14:solidFill>
                      </w14:textFill>
                    </w:rPr>
                    <w:t>炉</w:t>
                  </w:r>
                  <w:r>
                    <w:rPr>
                      <w:rFonts w:hint="eastAsia" w:ascii="宋体" w:hAnsi="宋体" w:eastAsia="宋体"/>
                      <w:color w:val="000000" w:themeColor="text1"/>
                      <w:spacing w:val="4"/>
                      <w:sz w:val="21"/>
                      <w:szCs w:val="24"/>
                      <w:highlight w:val="none"/>
                      <w14:textFill>
                        <w14:solidFill>
                          <w14:schemeClr w14:val="tx1"/>
                        </w14:solidFill>
                      </w14:textFill>
                    </w:rPr>
                    <w:t>应同</w:t>
                  </w:r>
                  <w:r>
                    <w:rPr>
                      <w:rFonts w:hint="eastAsia" w:ascii="宋体" w:hAnsi="宋体" w:eastAsia="宋体"/>
                      <w:color w:val="000000" w:themeColor="text1"/>
                      <w:sz w:val="21"/>
                      <w:szCs w:val="24"/>
                      <w:highlight w:val="none"/>
                      <w14:textFill>
                        <w14:solidFill>
                          <w14:schemeClr w14:val="tx1"/>
                        </w14:solidFill>
                      </w14:textFill>
                    </w:rPr>
                    <w:t>步</w:t>
                  </w:r>
                  <w:r>
                    <w:rPr>
                      <w:rFonts w:hint="eastAsia" w:ascii="宋体" w:hAnsi="宋体" w:eastAsia="宋体"/>
                      <w:color w:val="000000" w:themeColor="text1"/>
                      <w:spacing w:val="6"/>
                      <w:sz w:val="21"/>
                      <w:szCs w:val="24"/>
                      <w:highlight w:val="none"/>
                      <w14:textFill>
                        <w14:solidFill>
                          <w14:schemeClr w14:val="tx1"/>
                        </w14:solidFill>
                      </w14:textFill>
                    </w:rPr>
                    <w:t>配</w:t>
                  </w:r>
                  <w:r>
                    <w:rPr>
                      <w:rFonts w:hint="eastAsia" w:ascii="宋体" w:hAnsi="宋体" w:eastAsia="宋体"/>
                      <w:color w:val="000000" w:themeColor="text1"/>
                      <w:spacing w:val="4"/>
                      <w:sz w:val="21"/>
                      <w:szCs w:val="24"/>
                      <w:highlight w:val="none"/>
                      <w14:textFill>
                        <w14:solidFill>
                          <w14:schemeClr w14:val="tx1"/>
                        </w14:solidFill>
                      </w14:textFill>
                    </w:rPr>
                    <w:t>套</w:t>
                  </w:r>
                  <w:r>
                    <w:rPr>
                      <w:rFonts w:hint="eastAsia" w:ascii="宋体" w:hAnsi="宋体" w:eastAsia="宋体"/>
                      <w:color w:val="000000" w:themeColor="text1"/>
                      <w:spacing w:val="6"/>
                      <w:sz w:val="21"/>
                      <w:szCs w:val="24"/>
                      <w:highlight w:val="none"/>
                      <w14:textFill>
                        <w14:solidFill>
                          <w14:schemeClr w14:val="tx1"/>
                        </w14:solidFill>
                      </w14:textFill>
                    </w:rPr>
                    <w:t>满</w:t>
                  </w:r>
                  <w:r>
                    <w:rPr>
                      <w:rFonts w:hint="eastAsia" w:ascii="宋体" w:hAnsi="宋体" w:eastAsia="宋体"/>
                      <w:color w:val="000000" w:themeColor="text1"/>
                      <w:spacing w:val="4"/>
                      <w:sz w:val="21"/>
                      <w:szCs w:val="24"/>
                      <w:highlight w:val="none"/>
                      <w14:textFill>
                        <w14:solidFill>
                          <w14:schemeClr w14:val="tx1"/>
                        </w14:solidFill>
                      </w14:textFill>
                    </w:rPr>
                    <w:t>足技</w:t>
                  </w:r>
                  <w:r>
                    <w:rPr>
                      <w:rFonts w:hint="eastAsia" w:ascii="宋体" w:hAnsi="宋体" w:eastAsia="宋体"/>
                      <w:color w:val="000000" w:themeColor="text1"/>
                      <w:spacing w:val="6"/>
                      <w:sz w:val="21"/>
                      <w:szCs w:val="24"/>
                      <w:highlight w:val="none"/>
                      <w14:textFill>
                        <w14:solidFill>
                          <w14:schemeClr w14:val="tx1"/>
                        </w14:solidFill>
                      </w14:textFill>
                    </w:rPr>
                    <w:t>术</w:t>
                  </w:r>
                  <w:r>
                    <w:rPr>
                      <w:rFonts w:hint="eastAsia" w:ascii="宋体" w:hAnsi="宋体" w:eastAsia="宋体"/>
                      <w:color w:val="000000" w:themeColor="text1"/>
                      <w:spacing w:val="4"/>
                      <w:sz w:val="21"/>
                      <w:szCs w:val="24"/>
                      <w:highlight w:val="none"/>
                      <w14:textFill>
                        <w14:solidFill>
                          <w14:schemeClr w14:val="tx1"/>
                        </w14:solidFill>
                      </w14:textFill>
                    </w:rPr>
                    <w:t>规范</w:t>
                  </w:r>
                  <w:r>
                    <w:rPr>
                      <w:rFonts w:hint="eastAsia" w:ascii="宋体" w:hAnsi="宋体" w:eastAsia="宋体"/>
                      <w:color w:val="000000" w:themeColor="text1"/>
                      <w:spacing w:val="6"/>
                      <w:sz w:val="21"/>
                      <w:szCs w:val="24"/>
                      <w:highlight w:val="none"/>
                      <w14:textFill>
                        <w14:solidFill>
                          <w14:schemeClr w14:val="tx1"/>
                        </w14:solidFill>
                      </w14:textFill>
                    </w:rPr>
                    <w:t>要</w:t>
                  </w:r>
                  <w:r>
                    <w:rPr>
                      <w:rFonts w:hint="eastAsia" w:ascii="宋体" w:hAnsi="宋体" w:eastAsia="宋体"/>
                      <w:color w:val="000000" w:themeColor="text1"/>
                      <w:spacing w:val="4"/>
                      <w:sz w:val="21"/>
                      <w:szCs w:val="24"/>
                      <w:highlight w:val="none"/>
                      <w14:textFill>
                        <w14:solidFill>
                          <w14:schemeClr w14:val="tx1"/>
                        </w14:solidFill>
                      </w14:textFill>
                    </w:rPr>
                    <w:t>求的</w:t>
                  </w:r>
                  <w:r>
                    <w:rPr>
                      <w:rFonts w:hint="eastAsia" w:ascii="宋体" w:hAnsi="宋体" w:eastAsia="宋体"/>
                      <w:color w:val="000000" w:themeColor="text1"/>
                      <w:sz w:val="21"/>
                      <w:szCs w:val="24"/>
                      <w:highlight w:val="none"/>
                      <w14:textFill>
                        <w14:solidFill>
                          <w14:schemeClr w14:val="tx1"/>
                        </w14:solidFill>
                      </w14:textFill>
                    </w:rPr>
                    <w:t>废气防</w:t>
                  </w:r>
                  <w:r>
                    <w:rPr>
                      <w:rFonts w:hint="eastAsia" w:ascii="宋体" w:hAnsi="宋体" w:eastAsia="宋体"/>
                      <w:color w:val="000000" w:themeColor="text1"/>
                      <w:spacing w:val="-3"/>
                      <w:sz w:val="21"/>
                      <w:szCs w:val="24"/>
                      <w:highlight w:val="none"/>
                      <w14:textFill>
                        <w14:solidFill>
                          <w14:schemeClr w14:val="tx1"/>
                        </w14:solidFill>
                      </w14:textFill>
                    </w:rPr>
                    <w:t>治</w:t>
                  </w:r>
                  <w:r>
                    <w:rPr>
                      <w:rFonts w:hint="eastAsia" w:ascii="宋体" w:hAnsi="宋体" w:eastAsia="宋体"/>
                      <w:color w:val="000000" w:themeColor="text1"/>
                      <w:sz w:val="21"/>
                      <w:szCs w:val="24"/>
                      <w:highlight w:val="none"/>
                      <w14:textFill>
                        <w14:solidFill>
                          <w14:schemeClr w14:val="tx1"/>
                        </w14:solidFill>
                      </w14:textFill>
                    </w:rPr>
                    <w:t>措</w:t>
                  </w:r>
                  <w:r>
                    <w:rPr>
                      <w:rFonts w:hint="eastAsia" w:ascii="宋体" w:hAnsi="宋体" w:eastAsia="宋体"/>
                      <w:color w:val="000000" w:themeColor="text1"/>
                      <w:spacing w:val="-3"/>
                      <w:sz w:val="21"/>
                      <w:szCs w:val="24"/>
                      <w:highlight w:val="none"/>
                      <w14:textFill>
                        <w14:solidFill>
                          <w14:schemeClr w14:val="tx1"/>
                        </w14:solidFill>
                      </w14:textFill>
                    </w:rPr>
                    <w:t>施</w:t>
                  </w:r>
                  <w:r>
                    <w:rPr>
                      <w:rFonts w:hint="eastAsia" w:ascii="宋体" w:hAnsi="宋体" w:eastAsia="宋体"/>
                      <w:color w:val="000000" w:themeColor="text1"/>
                      <w:sz w:val="21"/>
                      <w:szCs w:val="24"/>
                      <w:highlight w:val="none"/>
                      <w14:textFill>
                        <w14:solidFill>
                          <w14:schemeClr w14:val="tx1"/>
                        </w14:solidFill>
                      </w14:textFill>
                    </w:rPr>
                    <w:t>。</w:t>
                  </w:r>
                </w:p>
              </w:tc>
              <w:tc>
                <w:tcPr>
                  <w:tcW w:w="2555" w:type="dxa"/>
                  <w:tcBorders>
                    <w:tl2br w:val="nil"/>
                    <w:tr2bl w:val="nil"/>
                  </w:tcBorders>
                  <w:noWrap w:val="0"/>
                  <w:vAlign w:val="center"/>
                </w:tcPr>
                <w:p w14:paraId="658A3F17">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本项目拌和站（含</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、筒仓、传送装置等）</w:t>
                  </w:r>
                  <w:r>
                    <w:rPr>
                      <w:rFonts w:hint="default" w:ascii="Times New Roman" w:hAnsi="Times New Roman" w:eastAsia="宋体" w:cs="Times New Roman"/>
                      <w:color w:val="000000" w:themeColor="text1"/>
                      <w:sz w:val="21"/>
                      <w:szCs w:val="21"/>
                      <w:highlight w:val="none"/>
                      <w14:textFill>
                        <w14:solidFill>
                          <w14:schemeClr w14:val="tx1"/>
                        </w14:solidFill>
                      </w14:textFill>
                    </w:rPr>
                    <w:t>采用整体封闭结构，砂石料堆仓修建三面围挡+彩钢顶棚并设喷雾抑尘装置，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水泥筒仓</w:t>
                  </w:r>
                  <w:r>
                    <w:rPr>
                      <w:rFonts w:hint="default" w:ascii="Times New Roman" w:hAnsi="Times New Roman" w:eastAsia="宋体" w:cs="Times New Roman"/>
                      <w:color w:val="000000" w:themeColor="text1"/>
                      <w:sz w:val="21"/>
                      <w:szCs w:val="21"/>
                      <w:highlight w:val="none"/>
                      <w14:textFill>
                        <w14:solidFill>
                          <w14:schemeClr w14:val="tx1"/>
                        </w14:solidFill>
                      </w14:textFill>
                    </w:rPr>
                    <w:t>仓顶安装袋式除尘器，收集的粉尘全部回用，传送带均采用侧面围挡、顶部遮盖的形式设置，其余生产设备均使用低产尘量的设备，以降低</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粉</w:t>
                  </w:r>
                  <w:r>
                    <w:rPr>
                      <w:rFonts w:hint="default" w:ascii="Times New Roman" w:hAnsi="Times New Roman" w:eastAsia="宋体" w:cs="Times New Roman"/>
                      <w:color w:val="000000" w:themeColor="text1"/>
                      <w:sz w:val="21"/>
                      <w:szCs w:val="21"/>
                      <w:highlight w:val="none"/>
                      <w14:textFill>
                        <w14:solidFill>
                          <w14:schemeClr w14:val="tx1"/>
                        </w14:solidFill>
                      </w14:textFill>
                    </w:rPr>
                    <w:t>尘排放量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676" w:type="dxa"/>
                  <w:tcBorders>
                    <w:tl2br w:val="nil"/>
                    <w:tr2bl w:val="nil"/>
                  </w:tcBorders>
                  <w:noWrap w:val="0"/>
                  <w:vAlign w:val="center"/>
                </w:tcPr>
                <w:p w14:paraId="3C4FBE6A">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220677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6" w:type="dxa"/>
                  <w:tcBorders>
                    <w:tl2br w:val="nil"/>
                    <w:tr2bl w:val="nil"/>
                  </w:tcBorders>
                  <w:noWrap w:val="0"/>
                  <w:vAlign w:val="center"/>
                </w:tcPr>
                <w:p w14:paraId="7606198C">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固废处置措施</w:t>
                  </w:r>
                </w:p>
              </w:tc>
              <w:tc>
                <w:tcPr>
                  <w:tcW w:w="2953" w:type="dxa"/>
                  <w:tcBorders>
                    <w:tl2br w:val="nil"/>
                    <w:tr2bl w:val="nil"/>
                  </w:tcBorders>
                  <w:noWrap w:val="0"/>
                  <w:vAlign w:val="center"/>
                </w:tcPr>
                <w:p w14:paraId="5B1EA062">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入区企业</w:t>
                  </w:r>
                  <w:r>
                    <w:rPr>
                      <w:rFonts w:hint="eastAsia" w:ascii="宋体" w:hAnsi="宋体" w:eastAsia="宋体"/>
                      <w:color w:val="000000" w:themeColor="text1"/>
                      <w:spacing w:val="-3"/>
                      <w:sz w:val="21"/>
                      <w:szCs w:val="24"/>
                      <w:highlight w:val="none"/>
                      <w14:textFill>
                        <w14:solidFill>
                          <w14:schemeClr w14:val="tx1"/>
                        </w14:solidFill>
                      </w14:textFill>
                    </w:rPr>
                    <w:t>产</w:t>
                  </w:r>
                  <w:r>
                    <w:rPr>
                      <w:rFonts w:hint="eastAsia" w:ascii="宋体" w:hAnsi="宋体" w:eastAsia="宋体"/>
                      <w:color w:val="000000" w:themeColor="text1"/>
                      <w:sz w:val="21"/>
                      <w:szCs w:val="24"/>
                      <w:highlight w:val="none"/>
                      <w14:textFill>
                        <w14:solidFill>
                          <w14:schemeClr w14:val="tx1"/>
                        </w14:solidFill>
                      </w14:textFill>
                    </w:rPr>
                    <w:t>生的</w:t>
                  </w:r>
                  <w:r>
                    <w:rPr>
                      <w:rFonts w:hint="eastAsia" w:ascii="宋体" w:hAnsi="宋体" w:eastAsia="宋体"/>
                      <w:color w:val="000000" w:themeColor="text1"/>
                      <w:spacing w:val="-3"/>
                      <w:sz w:val="21"/>
                      <w:szCs w:val="24"/>
                      <w:highlight w:val="none"/>
                      <w14:textFill>
                        <w14:solidFill>
                          <w14:schemeClr w14:val="tx1"/>
                        </w14:solidFill>
                      </w14:textFill>
                    </w:rPr>
                    <w:t>工</w:t>
                  </w:r>
                  <w:r>
                    <w:rPr>
                      <w:rFonts w:hint="eastAsia" w:ascii="宋体" w:hAnsi="宋体" w:eastAsia="宋体"/>
                      <w:color w:val="000000" w:themeColor="text1"/>
                      <w:sz w:val="21"/>
                      <w:szCs w:val="24"/>
                      <w:highlight w:val="none"/>
                      <w14:textFill>
                        <w14:solidFill>
                          <w14:schemeClr w14:val="tx1"/>
                        </w14:solidFill>
                      </w14:textFill>
                    </w:rPr>
                    <w:t>业固废</w:t>
                  </w:r>
                  <w:r>
                    <w:rPr>
                      <w:rFonts w:hint="default" w:ascii="Times New Roman" w:hAnsi="Times New Roman" w:eastAsia="Times New Roman"/>
                      <w:color w:val="000000" w:themeColor="text1"/>
                      <w:spacing w:val="-4"/>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含危废</w:t>
                  </w:r>
                  <w:r>
                    <w:rPr>
                      <w:rFonts w:hint="default" w:ascii="Times New Roman" w:hAnsi="Times New Roman" w:eastAsia="Times New Roman"/>
                      <w:color w:val="000000" w:themeColor="text1"/>
                      <w:spacing w:val="-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按“三</w:t>
                  </w:r>
                  <w:r>
                    <w:rPr>
                      <w:rFonts w:hint="eastAsia" w:ascii="宋体" w:hAnsi="宋体" w:eastAsia="宋体"/>
                      <w:color w:val="000000" w:themeColor="text1"/>
                      <w:spacing w:val="-3"/>
                      <w:sz w:val="21"/>
                      <w:szCs w:val="24"/>
                      <w:highlight w:val="none"/>
                      <w14:textFill>
                        <w14:solidFill>
                          <w14:schemeClr w14:val="tx1"/>
                        </w14:solidFill>
                      </w14:textFill>
                    </w:rPr>
                    <w:t>化</w:t>
                  </w:r>
                  <w:r>
                    <w:rPr>
                      <w:rFonts w:hint="eastAsia" w:ascii="宋体" w:hAnsi="宋体" w:eastAsia="宋体"/>
                      <w:color w:val="000000" w:themeColor="text1"/>
                      <w:sz w:val="21"/>
                      <w:szCs w:val="24"/>
                      <w:highlight w:val="none"/>
                      <w14:textFill>
                        <w14:solidFill>
                          <w14:schemeClr w14:val="tx1"/>
                        </w14:solidFill>
                      </w14:textFill>
                    </w:rPr>
                    <w:t>”的原</w:t>
                  </w:r>
                  <w:r>
                    <w:rPr>
                      <w:rFonts w:hint="eastAsia" w:ascii="宋体" w:hAnsi="宋体" w:eastAsia="宋体"/>
                      <w:color w:val="000000" w:themeColor="text1"/>
                      <w:spacing w:val="-3"/>
                      <w:sz w:val="21"/>
                      <w:szCs w:val="24"/>
                      <w:highlight w:val="none"/>
                      <w14:textFill>
                        <w14:solidFill>
                          <w14:schemeClr w14:val="tx1"/>
                        </w14:solidFill>
                      </w14:textFill>
                    </w:rPr>
                    <w:t>则落</w:t>
                  </w:r>
                  <w:r>
                    <w:rPr>
                      <w:rFonts w:hint="eastAsia" w:ascii="宋体" w:hAnsi="宋体" w:eastAsia="宋体"/>
                      <w:color w:val="000000" w:themeColor="text1"/>
                      <w:sz w:val="21"/>
                      <w:szCs w:val="24"/>
                      <w:highlight w:val="none"/>
                      <w14:textFill>
                        <w14:solidFill>
                          <w14:schemeClr w14:val="tx1"/>
                        </w14:solidFill>
                      </w14:textFill>
                    </w:rPr>
                    <w:t>实妥善的综合利用和处置措</w:t>
                  </w:r>
                  <w:r>
                    <w:rPr>
                      <w:rFonts w:hint="eastAsia" w:ascii="宋体" w:hAnsi="宋体" w:eastAsia="宋体"/>
                      <w:color w:val="000000" w:themeColor="text1"/>
                      <w:spacing w:val="6"/>
                      <w:sz w:val="21"/>
                      <w:szCs w:val="24"/>
                      <w:highlight w:val="none"/>
                      <w14:textFill>
                        <w14:solidFill>
                          <w14:schemeClr w14:val="tx1"/>
                        </w14:solidFill>
                      </w14:textFill>
                    </w:rPr>
                    <w:t>施</w:t>
                  </w:r>
                  <w:r>
                    <w:rPr>
                      <w:rFonts w:hint="eastAsia" w:ascii="宋体" w:hAnsi="宋体" w:eastAsia="宋体"/>
                      <w:color w:val="000000" w:themeColor="text1"/>
                      <w:spacing w:val="4"/>
                      <w:sz w:val="21"/>
                      <w:szCs w:val="24"/>
                      <w:highlight w:val="none"/>
                      <w14:textFill>
                        <w14:solidFill>
                          <w14:schemeClr w14:val="tx1"/>
                        </w14:solidFill>
                      </w14:textFill>
                    </w:rPr>
                    <w:t>；</w:t>
                  </w:r>
                  <w:r>
                    <w:rPr>
                      <w:rFonts w:hint="eastAsia" w:ascii="宋体" w:hAnsi="宋体" w:eastAsia="宋体"/>
                      <w:color w:val="000000" w:themeColor="text1"/>
                      <w:spacing w:val="6"/>
                      <w:sz w:val="21"/>
                      <w:szCs w:val="24"/>
                      <w:highlight w:val="none"/>
                      <w14:textFill>
                        <w14:solidFill>
                          <w14:schemeClr w14:val="tx1"/>
                        </w14:solidFill>
                      </w14:textFill>
                    </w:rPr>
                    <w:t>涉</w:t>
                  </w:r>
                  <w:r>
                    <w:rPr>
                      <w:rFonts w:hint="eastAsia" w:ascii="宋体" w:hAnsi="宋体" w:eastAsia="宋体"/>
                      <w:color w:val="000000" w:themeColor="text1"/>
                      <w:spacing w:val="4"/>
                      <w:sz w:val="21"/>
                      <w:szCs w:val="24"/>
                      <w:highlight w:val="none"/>
                      <w14:textFill>
                        <w14:solidFill>
                          <w14:schemeClr w14:val="tx1"/>
                        </w14:solidFill>
                      </w14:textFill>
                    </w:rPr>
                    <w:t>及危</w:t>
                  </w:r>
                  <w:r>
                    <w:rPr>
                      <w:rFonts w:hint="eastAsia" w:ascii="宋体" w:hAnsi="宋体" w:eastAsia="宋体"/>
                      <w:color w:val="000000" w:themeColor="text1"/>
                      <w:spacing w:val="6"/>
                      <w:sz w:val="21"/>
                      <w:szCs w:val="24"/>
                      <w:highlight w:val="none"/>
                      <w14:textFill>
                        <w14:solidFill>
                          <w14:schemeClr w14:val="tx1"/>
                        </w14:solidFill>
                      </w14:textFill>
                    </w:rPr>
                    <w:t>险</w:t>
                  </w:r>
                  <w:r>
                    <w:rPr>
                      <w:rFonts w:hint="eastAsia" w:ascii="宋体" w:hAnsi="宋体" w:eastAsia="宋体"/>
                      <w:color w:val="000000" w:themeColor="text1"/>
                      <w:spacing w:val="4"/>
                      <w:sz w:val="21"/>
                      <w:szCs w:val="24"/>
                      <w:highlight w:val="none"/>
                      <w14:textFill>
                        <w14:solidFill>
                          <w14:schemeClr w14:val="tx1"/>
                        </w14:solidFill>
                      </w14:textFill>
                    </w:rPr>
                    <w:t>废物</w:t>
                  </w:r>
                  <w:r>
                    <w:rPr>
                      <w:rFonts w:hint="eastAsia" w:ascii="宋体" w:hAnsi="宋体" w:eastAsia="宋体"/>
                      <w:color w:val="000000" w:themeColor="text1"/>
                      <w:spacing w:val="6"/>
                      <w:sz w:val="21"/>
                      <w:szCs w:val="24"/>
                      <w:highlight w:val="none"/>
                      <w14:textFill>
                        <w14:solidFill>
                          <w14:schemeClr w14:val="tx1"/>
                        </w14:solidFill>
                      </w14:textFill>
                    </w:rPr>
                    <w:t>的</w:t>
                  </w:r>
                  <w:r>
                    <w:rPr>
                      <w:rFonts w:hint="eastAsia" w:ascii="宋体" w:hAnsi="宋体" w:eastAsia="宋体"/>
                      <w:color w:val="000000" w:themeColor="text1"/>
                      <w:spacing w:val="4"/>
                      <w:sz w:val="21"/>
                      <w:szCs w:val="24"/>
                      <w:highlight w:val="none"/>
                      <w14:textFill>
                        <w14:solidFill>
                          <w14:schemeClr w14:val="tx1"/>
                        </w14:solidFill>
                      </w14:textFill>
                    </w:rPr>
                    <w:t>企业</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6"/>
                      <w:sz w:val="21"/>
                      <w:szCs w:val="24"/>
                      <w:highlight w:val="none"/>
                      <w14:textFill>
                        <w14:solidFill>
                          <w14:schemeClr w14:val="tx1"/>
                        </w14:solidFill>
                      </w14:textFill>
                    </w:rPr>
                    <w:t>由</w:t>
                  </w:r>
                  <w:r>
                    <w:rPr>
                      <w:rFonts w:hint="eastAsia" w:ascii="宋体" w:hAnsi="宋体" w:eastAsia="宋体"/>
                      <w:color w:val="000000" w:themeColor="text1"/>
                      <w:spacing w:val="4"/>
                      <w:sz w:val="21"/>
                      <w:szCs w:val="24"/>
                      <w:highlight w:val="none"/>
                      <w14:textFill>
                        <w14:solidFill>
                          <w14:schemeClr w14:val="tx1"/>
                        </w14:solidFill>
                      </w14:textFill>
                    </w:rPr>
                    <w:t>企</w:t>
                  </w:r>
                  <w:r>
                    <w:rPr>
                      <w:rFonts w:hint="eastAsia" w:ascii="宋体" w:hAnsi="宋体" w:eastAsia="宋体"/>
                      <w:color w:val="000000" w:themeColor="text1"/>
                      <w:spacing w:val="6"/>
                      <w:sz w:val="21"/>
                      <w:szCs w:val="24"/>
                      <w:highlight w:val="none"/>
                      <w14:textFill>
                        <w14:solidFill>
                          <w14:schemeClr w14:val="tx1"/>
                        </w14:solidFill>
                      </w14:textFill>
                    </w:rPr>
                    <w:t>业</w:t>
                  </w:r>
                  <w:r>
                    <w:rPr>
                      <w:rFonts w:hint="eastAsia" w:ascii="宋体" w:hAnsi="宋体" w:eastAsia="宋体"/>
                      <w:color w:val="000000" w:themeColor="text1"/>
                      <w:spacing w:val="4"/>
                      <w:sz w:val="21"/>
                      <w:szCs w:val="24"/>
                      <w:highlight w:val="none"/>
                      <w14:textFill>
                        <w14:solidFill>
                          <w14:schemeClr w14:val="tx1"/>
                        </w14:solidFill>
                      </w14:textFill>
                    </w:rPr>
                    <w:t>按照</w:t>
                  </w:r>
                  <w:r>
                    <w:rPr>
                      <w:rFonts w:hint="eastAsia" w:ascii="宋体" w:hAnsi="宋体" w:eastAsia="宋体"/>
                      <w:color w:val="000000" w:themeColor="text1"/>
                      <w:spacing w:val="6"/>
                      <w:sz w:val="21"/>
                      <w:szCs w:val="24"/>
                      <w:highlight w:val="none"/>
                      <w14:textFill>
                        <w14:solidFill>
                          <w14:schemeClr w14:val="tx1"/>
                        </w14:solidFill>
                      </w14:textFill>
                    </w:rPr>
                    <w:t>国</w:t>
                  </w:r>
                  <w:r>
                    <w:rPr>
                      <w:rFonts w:hint="eastAsia" w:ascii="宋体" w:hAnsi="宋体" w:eastAsia="宋体"/>
                      <w:color w:val="000000" w:themeColor="text1"/>
                      <w:spacing w:val="4"/>
                      <w:sz w:val="21"/>
                      <w:szCs w:val="24"/>
                      <w:highlight w:val="none"/>
                      <w14:textFill>
                        <w14:solidFill>
                          <w14:schemeClr w14:val="tx1"/>
                        </w14:solidFill>
                      </w14:textFill>
                    </w:rPr>
                    <w:t>家有</w:t>
                  </w:r>
                  <w:r>
                    <w:rPr>
                      <w:rFonts w:hint="eastAsia" w:ascii="宋体" w:hAnsi="宋体" w:eastAsia="宋体"/>
                      <w:color w:val="000000" w:themeColor="text1"/>
                      <w:spacing w:val="6"/>
                      <w:sz w:val="21"/>
                      <w:szCs w:val="24"/>
                      <w:highlight w:val="none"/>
                      <w14:textFill>
                        <w14:solidFill>
                          <w14:schemeClr w14:val="tx1"/>
                        </w14:solidFill>
                      </w14:textFill>
                    </w:rPr>
                    <w:t>关</w:t>
                  </w:r>
                  <w:r>
                    <w:rPr>
                      <w:rFonts w:hint="eastAsia" w:ascii="宋体" w:hAnsi="宋体" w:eastAsia="宋体"/>
                      <w:color w:val="000000" w:themeColor="text1"/>
                      <w:spacing w:val="4"/>
                      <w:sz w:val="21"/>
                      <w:szCs w:val="24"/>
                      <w:highlight w:val="none"/>
                      <w14:textFill>
                        <w14:solidFill>
                          <w14:schemeClr w14:val="tx1"/>
                        </w14:solidFill>
                      </w14:textFill>
                    </w:rPr>
                    <w:t>规定</w:t>
                  </w:r>
                  <w:r>
                    <w:rPr>
                      <w:rFonts w:hint="eastAsia" w:ascii="宋体" w:hAnsi="宋体" w:eastAsia="宋体"/>
                      <w:color w:val="000000" w:themeColor="text1"/>
                      <w:sz w:val="21"/>
                      <w:szCs w:val="24"/>
                      <w:highlight w:val="none"/>
                      <w14:textFill>
                        <w14:solidFill>
                          <w14:schemeClr w14:val="tx1"/>
                        </w14:solidFill>
                      </w14:textFill>
                    </w:rPr>
                    <w:t>进</w:t>
                  </w:r>
                  <w:r>
                    <w:rPr>
                      <w:rFonts w:hint="eastAsia" w:ascii="宋体" w:hAnsi="宋体" w:eastAsia="宋体"/>
                      <w:color w:val="000000" w:themeColor="text1"/>
                      <w:spacing w:val="6"/>
                      <w:sz w:val="21"/>
                      <w:szCs w:val="24"/>
                      <w:highlight w:val="none"/>
                      <w14:textFill>
                        <w14:solidFill>
                          <w14:schemeClr w14:val="tx1"/>
                        </w14:solidFill>
                      </w14:textFill>
                    </w:rPr>
                    <w:t>行</w:t>
                  </w:r>
                  <w:r>
                    <w:rPr>
                      <w:rFonts w:hint="eastAsia" w:ascii="宋体" w:hAnsi="宋体" w:eastAsia="宋体"/>
                      <w:color w:val="000000" w:themeColor="text1"/>
                      <w:spacing w:val="4"/>
                      <w:sz w:val="21"/>
                      <w:szCs w:val="24"/>
                      <w:highlight w:val="none"/>
                      <w14:textFill>
                        <w14:solidFill>
                          <w14:schemeClr w14:val="tx1"/>
                        </w14:solidFill>
                      </w14:textFill>
                    </w:rPr>
                    <w:t>安</w:t>
                  </w:r>
                  <w:r>
                    <w:rPr>
                      <w:rFonts w:hint="eastAsia" w:ascii="宋体" w:hAnsi="宋体" w:eastAsia="宋体"/>
                      <w:color w:val="000000" w:themeColor="text1"/>
                      <w:spacing w:val="6"/>
                      <w:sz w:val="21"/>
                      <w:szCs w:val="24"/>
                      <w:highlight w:val="none"/>
                      <w14:textFill>
                        <w14:solidFill>
                          <w14:schemeClr w14:val="tx1"/>
                        </w14:solidFill>
                      </w14:textFill>
                    </w:rPr>
                    <w:t>全</w:t>
                  </w:r>
                  <w:r>
                    <w:rPr>
                      <w:rFonts w:hint="eastAsia" w:ascii="宋体" w:hAnsi="宋体" w:eastAsia="宋体"/>
                      <w:color w:val="000000" w:themeColor="text1"/>
                      <w:spacing w:val="4"/>
                      <w:sz w:val="21"/>
                      <w:szCs w:val="24"/>
                      <w:highlight w:val="none"/>
                      <w14:textFill>
                        <w14:solidFill>
                          <w14:schemeClr w14:val="tx1"/>
                        </w14:solidFill>
                      </w14:textFill>
                    </w:rPr>
                    <w:t>处置</w:t>
                  </w:r>
                  <w:r>
                    <w:rPr>
                      <w:rFonts w:hint="eastAsia" w:ascii="宋体" w:hAnsi="宋体" w:eastAsia="宋体"/>
                      <w:color w:val="000000" w:themeColor="text1"/>
                      <w:spacing w:val="6"/>
                      <w:sz w:val="21"/>
                      <w:szCs w:val="24"/>
                      <w:highlight w:val="none"/>
                      <w14:textFill>
                        <w14:solidFill>
                          <w14:schemeClr w14:val="tx1"/>
                        </w14:solidFill>
                      </w14:textFill>
                    </w:rPr>
                    <w:t>，</w:t>
                  </w:r>
                  <w:r>
                    <w:rPr>
                      <w:rFonts w:hint="eastAsia" w:ascii="宋体" w:hAnsi="宋体" w:eastAsia="宋体"/>
                      <w:color w:val="000000" w:themeColor="text1"/>
                      <w:spacing w:val="4"/>
                      <w:sz w:val="21"/>
                      <w:szCs w:val="24"/>
                      <w:highlight w:val="none"/>
                      <w14:textFill>
                        <w14:solidFill>
                          <w14:schemeClr w14:val="tx1"/>
                        </w14:solidFill>
                      </w14:textFill>
                    </w:rPr>
                    <w:t>或送</w:t>
                  </w:r>
                  <w:r>
                    <w:rPr>
                      <w:rFonts w:hint="eastAsia" w:ascii="宋体" w:hAnsi="宋体" w:eastAsia="宋体"/>
                      <w:color w:val="000000" w:themeColor="text1"/>
                      <w:spacing w:val="6"/>
                      <w:sz w:val="21"/>
                      <w:szCs w:val="24"/>
                      <w:highlight w:val="none"/>
                      <w14:textFill>
                        <w14:solidFill>
                          <w14:schemeClr w14:val="tx1"/>
                        </w14:solidFill>
                      </w14:textFill>
                    </w:rPr>
                    <w:t>有</w:t>
                  </w:r>
                  <w:r>
                    <w:rPr>
                      <w:rFonts w:hint="eastAsia" w:ascii="宋体" w:hAnsi="宋体" w:eastAsia="宋体"/>
                      <w:color w:val="000000" w:themeColor="text1"/>
                      <w:spacing w:val="4"/>
                      <w:sz w:val="21"/>
                      <w:szCs w:val="24"/>
                      <w:highlight w:val="none"/>
                      <w14:textFill>
                        <w14:solidFill>
                          <w14:schemeClr w14:val="tx1"/>
                        </w14:solidFill>
                      </w14:textFill>
                    </w:rPr>
                    <w:t>资格</w:t>
                  </w:r>
                  <w:r>
                    <w:rPr>
                      <w:rFonts w:hint="eastAsia" w:ascii="宋体" w:hAnsi="宋体" w:eastAsia="宋体"/>
                      <w:color w:val="000000" w:themeColor="text1"/>
                      <w:sz w:val="21"/>
                      <w:szCs w:val="24"/>
                      <w:highlight w:val="none"/>
                      <w14:textFill>
                        <w14:solidFill>
                          <w14:schemeClr w14:val="tx1"/>
                        </w14:solidFill>
                      </w14:textFill>
                    </w:rPr>
                    <w:t>的</w:t>
                  </w:r>
                  <w:r>
                    <w:rPr>
                      <w:rFonts w:hint="eastAsia" w:ascii="宋体" w:hAnsi="宋体" w:eastAsia="宋体"/>
                      <w:color w:val="000000" w:themeColor="text1"/>
                      <w:spacing w:val="6"/>
                      <w:sz w:val="21"/>
                      <w:szCs w:val="24"/>
                      <w:highlight w:val="none"/>
                      <w14:textFill>
                        <w14:solidFill>
                          <w14:schemeClr w14:val="tx1"/>
                        </w14:solidFill>
                      </w14:textFill>
                    </w:rPr>
                    <w:t>处</w:t>
                  </w:r>
                  <w:r>
                    <w:rPr>
                      <w:rFonts w:hint="eastAsia" w:ascii="宋体" w:hAnsi="宋体" w:eastAsia="宋体"/>
                      <w:color w:val="000000" w:themeColor="text1"/>
                      <w:spacing w:val="4"/>
                      <w:sz w:val="21"/>
                      <w:szCs w:val="24"/>
                      <w:highlight w:val="none"/>
                      <w14:textFill>
                        <w14:solidFill>
                          <w14:schemeClr w14:val="tx1"/>
                        </w14:solidFill>
                      </w14:textFill>
                    </w:rPr>
                    <w:t>置</w:t>
                  </w:r>
                  <w:r>
                    <w:rPr>
                      <w:rFonts w:hint="eastAsia" w:ascii="宋体" w:hAnsi="宋体" w:eastAsia="宋体"/>
                      <w:color w:val="000000" w:themeColor="text1"/>
                      <w:spacing w:val="6"/>
                      <w:sz w:val="21"/>
                      <w:szCs w:val="24"/>
                      <w:highlight w:val="none"/>
                      <w14:textFill>
                        <w14:solidFill>
                          <w14:schemeClr w14:val="tx1"/>
                        </w14:solidFill>
                      </w14:textFill>
                    </w:rPr>
                    <w:t>单</w:t>
                  </w:r>
                  <w:r>
                    <w:rPr>
                      <w:rFonts w:hint="eastAsia" w:ascii="宋体" w:hAnsi="宋体" w:eastAsia="宋体"/>
                      <w:color w:val="000000" w:themeColor="text1"/>
                      <w:spacing w:val="4"/>
                      <w:sz w:val="21"/>
                      <w:szCs w:val="24"/>
                      <w:highlight w:val="none"/>
                      <w14:textFill>
                        <w14:solidFill>
                          <w14:schemeClr w14:val="tx1"/>
                        </w14:solidFill>
                      </w14:textFill>
                    </w:rPr>
                    <w:t>位进</w:t>
                  </w:r>
                  <w:r>
                    <w:rPr>
                      <w:rFonts w:hint="eastAsia" w:ascii="宋体" w:hAnsi="宋体" w:eastAsia="宋体"/>
                      <w:color w:val="000000" w:themeColor="text1"/>
                      <w:spacing w:val="6"/>
                      <w:sz w:val="21"/>
                      <w:szCs w:val="24"/>
                      <w:highlight w:val="none"/>
                      <w14:textFill>
                        <w14:solidFill>
                          <w14:schemeClr w14:val="tx1"/>
                        </w14:solidFill>
                      </w14:textFill>
                    </w:rPr>
                    <w:t>行</w:t>
                  </w:r>
                  <w:r>
                    <w:rPr>
                      <w:rFonts w:hint="eastAsia" w:ascii="宋体" w:hAnsi="宋体" w:eastAsia="宋体"/>
                      <w:color w:val="000000" w:themeColor="text1"/>
                      <w:spacing w:val="4"/>
                      <w:sz w:val="21"/>
                      <w:szCs w:val="24"/>
                      <w:highlight w:val="none"/>
                      <w14:textFill>
                        <w14:solidFill>
                          <w14:schemeClr w14:val="tx1"/>
                        </w14:solidFill>
                      </w14:textFill>
                    </w:rPr>
                    <w:t>集中</w:t>
                  </w:r>
                  <w:r>
                    <w:rPr>
                      <w:rFonts w:hint="eastAsia" w:ascii="宋体" w:hAnsi="宋体" w:eastAsia="宋体"/>
                      <w:color w:val="000000" w:themeColor="text1"/>
                      <w:spacing w:val="8"/>
                      <w:sz w:val="21"/>
                      <w:szCs w:val="24"/>
                      <w:highlight w:val="none"/>
                      <w14:textFill>
                        <w14:solidFill>
                          <w14:schemeClr w14:val="tx1"/>
                        </w14:solidFill>
                      </w14:textFill>
                    </w:rPr>
                    <w:t>处</w:t>
                  </w:r>
                  <w:r>
                    <w:rPr>
                      <w:rFonts w:hint="eastAsia" w:ascii="宋体" w:hAnsi="宋体" w:eastAsia="宋体"/>
                      <w:color w:val="000000" w:themeColor="text1"/>
                      <w:spacing w:val="4"/>
                      <w:sz w:val="21"/>
                      <w:szCs w:val="24"/>
                      <w:highlight w:val="none"/>
                      <w14:textFill>
                        <w14:solidFill>
                          <w14:schemeClr w14:val="tx1"/>
                        </w14:solidFill>
                      </w14:textFill>
                    </w:rPr>
                    <w:t>置；生</w:t>
                  </w:r>
                  <w:r>
                    <w:rPr>
                      <w:rFonts w:hint="eastAsia" w:ascii="宋体" w:hAnsi="宋体" w:eastAsia="宋体"/>
                      <w:color w:val="000000" w:themeColor="text1"/>
                      <w:spacing w:val="6"/>
                      <w:sz w:val="21"/>
                      <w:szCs w:val="24"/>
                      <w:highlight w:val="none"/>
                      <w14:textFill>
                        <w14:solidFill>
                          <w14:schemeClr w14:val="tx1"/>
                        </w14:solidFill>
                      </w14:textFill>
                    </w:rPr>
                    <w:t>活</w:t>
                  </w:r>
                  <w:r>
                    <w:rPr>
                      <w:rFonts w:hint="eastAsia" w:ascii="宋体" w:hAnsi="宋体" w:eastAsia="宋体"/>
                      <w:color w:val="000000" w:themeColor="text1"/>
                      <w:spacing w:val="4"/>
                      <w:sz w:val="21"/>
                      <w:szCs w:val="24"/>
                      <w:highlight w:val="none"/>
                      <w14:textFill>
                        <w14:solidFill>
                          <w14:schemeClr w14:val="tx1"/>
                        </w14:solidFill>
                      </w14:textFill>
                    </w:rPr>
                    <w:t>垃</w:t>
                  </w:r>
                  <w:r>
                    <w:rPr>
                      <w:rFonts w:hint="eastAsia" w:ascii="宋体" w:hAnsi="宋体" w:eastAsia="宋体"/>
                      <w:color w:val="000000" w:themeColor="text1"/>
                      <w:spacing w:val="6"/>
                      <w:sz w:val="21"/>
                      <w:szCs w:val="24"/>
                      <w:highlight w:val="none"/>
                      <w14:textFill>
                        <w14:solidFill>
                          <w14:schemeClr w14:val="tx1"/>
                        </w14:solidFill>
                      </w14:textFill>
                    </w:rPr>
                    <w:t>圾</w:t>
                  </w:r>
                  <w:r>
                    <w:rPr>
                      <w:rFonts w:hint="eastAsia" w:ascii="宋体" w:hAnsi="宋体" w:eastAsia="宋体"/>
                      <w:color w:val="000000" w:themeColor="text1"/>
                      <w:spacing w:val="4"/>
                      <w:sz w:val="21"/>
                      <w:szCs w:val="24"/>
                      <w:highlight w:val="none"/>
                      <w14:textFill>
                        <w14:solidFill>
                          <w14:schemeClr w14:val="tx1"/>
                        </w14:solidFill>
                      </w14:textFill>
                    </w:rPr>
                    <w:t>由各</w:t>
                  </w:r>
                  <w:r>
                    <w:rPr>
                      <w:rFonts w:hint="eastAsia" w:ascii="宋体" w:hAnsi="宋体" w:eastAsia="宋体"/>
                      <w:color w:val="000000" w:themeColor="text1"/>
                      <w:spacing w:val="6"/>
                      <w:sz w:val="21"/>
                      <w:szCs w:val="24"/>
                      <w:highlight w:val="none"/>
                      <w14:textFill>
                        <w14:solidFill>
                          <w14:schemeClr w14:val="tx1"/>
                        </w14:solidFill>
                      </w14:textFill>
                    </w:rPr>
                    <w:t>集</w:t>
                  </w:r>
                  <w:r>
                    <w:rPr>
                      <w:rFonts w:hint="eastAsia" w:ascii="宋体" w:hAnsi="宋体" w:eastAsia="宋体"/>
                      <w:color w:val="000000" w:themeColor="text1"/>
                      <w:spacing w:val="4"/>
                      <w:sz w:val="21"/>
                      <w:szCs w:val="24"/>
                      <w:highlight w:val="none"/>
                      <w14:textFill>
                        <w14:solidFill>
                          <w14:schemeClr w14:val="tx1"/>
                        </w14:solidFill>
                      </w14:textFill>
                    </w:rPr>
                    <w:t>中区</w:t>
                  </w:r>
                  <w:r>
                    <w:rPr>
                      <w:rFonts w:hint="eastAsia" w:ascii="宋体" w:hAnsi="宋体" w:eastAsia="宋体"/>
                      <w:color w:val="000000" w:themeColor="text1"/>
                      <w:spacing w:val="6"/>
                      <w:sz w:val="21"/>
                      <w:szCs w:val="24"/>
                      <w:highlight w:val="none"/>
                      <w14:textFill>
                        <w14:solidFill>
                          <w14:schemeClr w14:val="tx1"/>
                        </w14:solidFill>
                      </w14:textFill>
                    </w:rPr>
                    <w:t>统</w:t>
                  </w:r>
                  <w:r>
                    <w:rPr>
                      <w:rFonts w:hint="eastAsia" w:ascii="宋体" w:hAnsi="宋体" w:eastAsia="宋体"/>
                      <w:color w:val="000000" w:themeColor="text1"/>
                      <w:spacing w:val="4"/>
                      <w:sz w:val="21"/>
                      <w:szCs w:val="24"/>
                      <w:highlight w:val="none"/>
                      <w14:textFill>
                        <w14:solidFill>
                          <w14:schemeClr w14:val="tx1"/>
                        </w14:solidFill>
                      </w14:textFill>
                    </w:rPr>
                    <w:t>一收</w:t>
                  </w:r>
                  <w:r>
                    <w:rPr>
                      <w:rFonts w:hint="eastAsia" w:ascii="宋体" w:hAnsi="宋体" w:eastAsia="宋体"/>
                      <w:color w:val="000000" w:themeColor="text1"/>
                      <w:sz w:val="21"/>
                      <w:szCs w:val="24"/>
                      <w:highlight w:val="none"/>
                      <w14:textFill>
                        <w14:solidFill>
                          <w14:schemeClr w14:val="tx1"/>
                        </w14:solidFill>
                      </w14:textFill>
                    </w:rPr>
                    <w:t>集送环</w:t>
                  </w:r>
                  <w:r>
                    <w:rPr>
                      <w:rFonts w:hint="eastAsia" w:ascii="宋体" w:hAnsi="宋体" w:eastAsia="宋体"/>
                      <w:color w:val="000000" w:themeColor="text1"/>
                      <w:spacing w:val="-3"/>
                      <w:sz w:val="21"/>
                      <w:szCs w:val="24"/>
                      <w:highlight w:val="none"/>
                      <w14:textFill>
                        <w14:solidFill>
                          <w14:schemeClr w14:val="tx1"/>
                        </w14:solidFill>
                      </w14:textFill>
                    </w:rPr>
                    <w:t>卫</w:t>
                  </w:r>
                  <w:r>
                    <w:rPr>
                      <w:rFonts w:hint="eastAsia" w:ascii="宋体" w:hAnsi="宋体" w:eastAsia="宋体"/>
                      <w:color w:val="000000" w:themeColor="text1"/>
                      <w:sz w:val="21"/>
                      <w:szCs w:val="24"/>
                      <w:highlight w:val="none"/>
                      <w14:textFill>
                        <w14:solidFill>
                          <w14:schemeClr w14:val="tx1"/>
                        </w14:solidFill>
                      </w14:textFill>
                    </w:rPr>
                    <w:t>部</w:t>
                  </w:r>
                  <w:r>
                    <w:rPr>
                      <w:rFonts w:hint="eastAsia" w:ascii="宋体" w:hAnsi="宋体" w:eastAsia="宋体"/>
                      <w:color w:val="000000" w:themeColor="text1"/>
                      <w:spacing w:val="-3"/>
                      <w:sz w:val="21"/>
                      <w:szCs w:val="24"/>
                      <w:highlight w:val="none"/>
                      <w14:textFill>
                        <w14:solidFill>
                          <w14:schemeClr w14:val="tx1"/>
                        </w14:solidFill>
                      </w14:textFill>
                    </w:rPr>
                    <w:t>门</w:t>
                  </w:r>
                  <w:r>
                    <w:rPr>
                      <w:rFonts w:hint="eastAsia" w:ascii="宋体" w:hAnsi="宋体" w:eastAsia="宋体"/>
                      <w:color w:val="000000" w:themeColor="text1"/>
                      <w:sz w:val="21"/>
                      <w:szCs w:val="24"/>
                      <w:highlight w:val="none"/>
                      <w14:textFill>
                        <w14:solidFill>
                          <w14:schemeClr w14:val="tx1"/>
                        </w14:solidFill>
                      </w14:textFill>
                    </w:rPr>
                    <w:t>处</w:t>
                  </w:r>
                  <w:r>
                    <w:rPr>
                      <w:rFonts w:hint="eastAsia" w:ascii="宋体" w:hAnsi="宋体" w:eastAsia="宋体"/>
                      <w:color w:val="000000" w:themeColor="text1"/>
                      <w:spacing w:val="-3"/>
                      <w:sz w:val="21"/>
                      <w:szCs w:val="24"/>
                      <w:highlight w:val="none"/>
                      <w14:textFill>
                        <w14:solidFill>
                          <w14:schemeClr w14:val="tx1"/>
                        </w14:solidFill>
                      </w14:textFill>
                    </w:rPr>
                    <w:t>置</w:t>
                  </w:r>
                  <w:r>
                    <w:rPr>
                      <w:rFonts w:hint="eastAsia" w:ascii="宋体" w:hAnsi="宋体" w:eastAsia="宋体"/>
                      <w:color w:val="000000" w:themeColor="text1"/>
                      <w:sz w:val="21"/>
                      <w:szCs w:val="24"/>
                      <w:highlight w:val="none"/>
                      <w14:textFill>
                        <w14:solidFill>
                          <w14:schemeClr w14:val="tx1"/>
                        </w14:solidFill>
                      </w14:textFill>
                    </w:rPr>
                    <w:t>。</w:t>
                  </w:r>
                </w:p>
              </w:tc>
              <w:tc>
                <w:tcPr>
                  <w:tcW w:w="2555" w:type="dxa"/>
                  <w:tcBorders>
                    <w:tl2br w:val="nil"/>
                    <w:tr2bl w:val="nil"/>
                  </w:tcBorders>
                  <w:noWrap w:val="0"/>
                  <w:vAlign w:val="center"/>
                </w:tcPr>
                <w:p w14:paraId="453A1282">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pacing w:val="-3"/>
                      <w:sz w:val="21"/>
                      <w:szCs w:val="24"/>
                      <w:highlight w:val="none"/>
                      <w14:textFill>
                        <w14:solidFill>
                          <w14:schemeClr w14:val="tx1"/>
                        </w14:solidFill>
                      </w14:textFill>
                    </w:rPr>
                    <w:t>营</w:t>
                  </w:r>
                  <w:r>
                    <w:rPr>
                      <w:rFonts w:hint="eastAsia" w:ascii="宋体" w:hAnsi="宋体" w:eastAsia="宋体"/>
                      <w:color w:val="000000" w:themeColor="text1"/>
                      <w:sz w:val="21"/>
                      <w:szCs w:val="24"/>
                      <w:highlight w:val="none"/>
                      <w14:textFill>
                        <w14:solidFill>
                          <w14:schemeClr w14:val="tx1"/>
                        </w14:solidFill>
                      </w14:textFill>
                    </w:rPr>
                    <w:t>运</w:t>
                  </w:r>
                  <w:r>
                    <w:rPr>
                      <w:rFonts w:hint="eastAsia" w:ascii="宋体" w:hAnsi="宋体" w:eastAsia="宋体"/>
                      <w:color w:val="000000" w:themeColor="text1"/>
                      <w:spacing w:val="-3"/>
                      <w:sz w:val="21"/>
                      <w:szCs w:val="24"/>
                      <w:highlight w:val="none"/>
                      <w14:textFill>
                        <w14:solidFill>
                          <w14:schemeClr w14:val="tx1"/>
                        </w14:solidFill>
                      </w14:textFill>
                    </w:rPr>
                    <w:t>期</w:t>
                  </w:r>
                  <w:r>
                    <w:rPr>
                      <w:rFonts w:hint="eastAsia" w:ascii="宋体" w:hAnsi="宋体" w:eastAsia="宋体"/>
                      <w:color w:val="000000" w:themeColor="text1"/>
                      <w:sz w:val="21"/>
                      <w:szCs w:val="24"/>
                      <w:highlight w:val="none"/>
                      <w14:textFill>
                        <w14:solidFill>
                          <w14:schemeClr w14:val="tx1"/>
                        </w14:solidFill>
                      </w14:textFill>
                    </w:rPr>
                    <w:t>产</w:t>
                  </w:r>
                  <w:r>
                    <w:rPr>
                      <w:rFonts w:hint="eastAsia" w:ascii="宋体" w:hAnsi="宋体" w:eastAsia="宋体"/>
                      <w:color w:val="000000" w:themeColor="text1"/>
                      <w:spacing w:val="-3"/>
                      <w:sz w:val="21"/>
                      <w:szCs w:val="24"/>
                      <w:highlight w:val="none"/>
                      <w14:textFill>
                        <w14:solidFill>
                          <w14:schemeClr w14:val="tx1"/>
                        </w14:solidFill>
                      </w14:textFill>
                    </w:rPr>
                    <w:t>生</w:t>
                  </w:r>
                  <w:r>
                    <w:rPr>
                      <w:rFonts w:hint="eastAsia" w:ascii="宋体" w:hAnsi="宋体" w:eastAsia="宋体"/>
                      <w:color w:val="000000" w:themeColor="text1"/>
                      <w:sz w:val="21"/>
                      <w:szCs w:val="24"/>
                      <w:highlight w:val="none"/>
                      <w14:textFill>
                        <w14:solidFill>
                          <w14:schemeClr w14:val="tx1"/>
                        </w14:solidFill>
                      </w14:textFill>
                    </w:rPr>
                    <w:t>的</w:t>
                  </w:r>
                  <w:r>
                    <w:rPr>
                      <w:rFonts w:hint="eastAsia" w:ascii="宋体" w:hAnsi="宋体" w:eastAsia="宋体"/>
                      <w:color w:val="000000" w:themeColor="text1"/>
                      <w:spacing w:val="-3"/>
                      <w:sz w:val="21"/>
                      <w:szCs w:val="24"/>
                      <w:highlight w:val="none"/>
                      <w14:textFill>
                        <w14:solidFill>
                          <w14:schemeClr w14:val="tx1"/>
                        </w14:solidFill>
                      </w14:textFill>
                    </w:rPr>
                    <w:t>垃</w:t>
                  </w:r>
                  <w:r>
                    <w:rPr>
                      <w:rFonts w:hint="eastAsia" w:ascii="宋体" w:hAnsi="宋体" w:eastAsia="宋体"/>
                      <w:color w:val="000000" w:themeColor="text1"/>
                      <w:sz w:val="21"/>
                      <w:szCs w:val="24"/>
                      <w:highlight w:val="none"/>
                      <w14:textFill>
                        <w14:solidFill>
                          <w14:schemeClr w14:val="tx1"/>
                        </w14:solidFill>
                      </w14:textFill>
                    </w:rPr>
                    <w:t>圾分类</w:t>
                  </w:r>
                  <w:r>
                    <w:rPr>
                      <w:rFonts w:hint="eastAsia" w:ascii="宋体" w:hAnsi="宋体" w:eastAsia="宋体"/>
                      <w:color w:val="000000" w:themeColor="text1"/>
                      <w:spacing w:val="-3"/>
                      <w:sz w:val="21"/>
                      <w:szCs w:val="24"/>
                      <w:highlight w:val="none"/>
                      <w14:textFill>
                        <w14:solidFill>
                          <w14:schemeClr w14:val="tx1"/>
                        </w14:solidFill>
                      </w14:textFill>
                    </w:rPr>
                    <w:t>收</w:t>
                  </w:r>
                  <w:r>
                    <w:rPr>
                      <w:rFonts w:hint="eastAsia" w:ascii="宋体" w:hAnsi="宋体" w:eastAsia="宋体"/>
                      <w:color w:val="000000" w:themeColor="text1"/>
                      <w:sz w:val="21"/>
                      <w:szCs w:val="24"/>
                      <w:highlight w:val="none"/>
                      <w14:textFill>
                        <w14:solidFill>
                          <w14:schemeClr w14:val="tx1"/>
                        </w14:solidFill>
                      </w14:textFill>
                    </w:rPr>
                    <w:t>集</w:t>
                  </w:r>
                  <w:r>
                    <w:rPr>
                      <w:rFonts w:hint="eastAsia" w:ascii="宋体" w:hAnsi="宋体" w:eastAsia="宋体"/>
                      <w:color w:val="000000" w:themeColor="text1"/>
                      <w:spacing w:val="-3"/>
                      <w:sz w:val="21"/>
                      <w:szCs w:val="24"/>
                      <w:highlight w:val="none"/>
                      <w14:textFill>
                        <w14:solidFill>
                          <w14:schemeClr w14:val="tx1"/>
                        </w14:solidFill>
                      </w14:textFill>
                    </w:rPr>
                    <w:t>，生活垃圾由垃圾桶收集，交环卫部门转运处置；收尘系统收集的粉尘回用于生产；</w:t>
                  </w:r>
                  <w:r>
                    <w:rPr>
                      <w:rFonts w:hint="default" w:ascii="Times New Roman" w:hAnsi="Times New Roman" w:eastAsia="宋体" w:cs="Times New Roman"/>
                      <w:color w:val="000000" w:themeColor="text1"/>
                      <w:sz w:val="21"/>
                      <w:szCs w:val="21"/>
                      <w:highlight w:val="none"/>
                      <w14:textFill>
                        <w14:solidFill>
                          <w14:schemeClr w14:val="tx1"/>
                        </w14:solidFill>
                      </w14:textFill>
                    </w:rPr>
                    <w:t>沉淀池底泥定期清掏，底泥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经设置压滤机脱水后，泥饼及检验室</w:t>
                  </w:r>
                  <w:r>
                    <w:rPr>
                      <w:rFonts w:hint="default" w:ascii="Times New Roman" w:hAnsi="Times New Roman" w:eastAsia="宋体" w:cs="Times New Roman"/>
                      <w:color w:val="000000" w:themeColor="text1"/>
                      <w:sz w:val="21"/>
                      <w:szCs w:val="21"/>
                      <w:highlight w:val="none"/>
                      <w14:textFill>
                        <w14:solidFill>
                          <w14:schemeClr w14:val="tx1"/>
                        </w14:solidFill>
                      </w14:textFill>
                    </w:rPr>
                    <w:t>硬化混凝土</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，本项目不使用废浆进行回用生产</w:t>
                  </w:r>
                  <w:r>
                    <w:rPr>
                      <w:rFonts w:hint="eastAsia" w:ascii="宋体" w:hAnsi="宋体" w:eastAsia="宋体"/>
                      <w:color w:val="000000" w:themeColor="text1"/>
                      <w:spacing w:val="-1"/>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营</w:t>
                  </w:r>
                  <w:r>
                    <w:rPr>
                      <w:rFonts w:hint="eastAsia" w:ascii="宋体" w:hAnsi="宋体" w:eastAsia="宋体"/>
                      <w:color w:val="000000" w:themeColor="text1"/>
                      <w:sz w:val="21"/>
                      <w:szCs w:val="24"/>
                      <w:highlight w:val="none"/>
                      <w14:textFill>
                        <w14:solidFill>
                          <w14:schemeClr w14:val="tx1"/>
                        </w14:solidFill>
                      </w14:textFill>
                    </w:rPr>
                    <w:t>运</w:t>
                  </w:r>
                  <w:r>
                    <w:rPr>
                      <w:rFonts w:hint="eastAsia" w:ascii="宋体" w:hAnsi="宋体" w:eastAsia="宋体"/>
                      <w:color w:val="000000" w:themeColor="text1"/>
                      <w:spacing w:val="-3"/>
                      <w:sz w:val="21"/>
                      <w:szCs w:val="24"/>
                      <w:highlight w:val="none"/>
                      <w14:textFill>
                        <w14:solidFill>
                          <w14:schemeClr w14:val="tx1"/>
                        </w14:solidFill>
                      </w14:textFill>
                    </w:rPr>
                    <w:t>期</w:t>
                  </w:r>
                  <w:r>
                    <w:rPr>
                      <w:rFonts w:hint="eastAsia" w:ascii="宋体" w:hAnsi="宋体" w:eastAsia="宋体"/>
                      <w:color w:val="000000" w:themeColor="text1"/>
                      <w:sz w:val="21"/>
                      <w:szCs w:val="24"/>
                      <w:highlight w:val="none"/>
                      <w14:textFill>
                        <w14:solidFill>
                          <w14:schemeClr w14:val="tx1"/>
                        </w14:solidFill>
                      </w14:textFill>
                    </w:rPr>
                    <w:t>产生的</w:t>
                  </w:r>
                  <w:r>
                    <w:rPr>
                      <w:rFonts w:hint="eastAsia" w:ascii="宋体" w:hAnsi="宋体" w:eastAsia="宋体"/>
                      <w:color w:val="000000" w:themeColor="text1"/>
                      <w:spacing w:val="-3"/>
                      <w:sz w:val="21"/>
                      <w:szCs w:val="24"/>
                      <w:highlight w:val="none"/>
                      <w14:textFill>
                        <w14:solidFill>
                          <w14:schemeClr w14:val="tx1"/>
                        </w14:solidFill>
                      </w14:textFill>
                    </w:rPr>
                    <w:t>危</w:t>
                  </w:r>
                  <w:r>
                    <w:rPr>
                      <w:rFonts w:hint="eastAsia" w:ascii="宋体" w:hAnsi="宋体" w:eastAsia="宋体"/>
                      <w:color w:val="000000" w:themeColor="text1"/>
                      <w:sz w:val="21"/>
                      <w:szCs w:val="24"/>
                      <w:highlight w:val="none"/>
                      <w14:textFill>
                        <w14:solidFill>
                          <w14:schemeClr w14:val="tx1"/>
                        </w14:solidFill>
                      </w14:textFill>
                    </w:rPr>
                    <w:t>险</w:t>
                  </w:r>
                  <w:r>
                    <w:rPr>
                      <w:rFonts w:hint="eastAsia" w:ascii="宋体" w:hAnsi="宋体" w:eastAsia="宋体"/>
                      <w:color w:val="000000" w:themeColor="text1"/>
                      <w:spacing w:val="-3"/>
                      <w:sz w:val="21"/>
                      <w:szCs w:val="24"/>
                      <w:highlight w:val="none"/>
                      <w14:textFill>
                        <w14:solidFill>
                          <w14:schemeClr w14:val="tx1"/>
                        </w14:solidFill>
                      </w14:textFill>
                    </w:rPr>
                    <w:t>废</w:t>
                  </w:r>
                  <w:r>
                    <w:rPr>
                      <w:rFonts w:hint="eastAsia" w:ascii="宋体" w:hAnsi="宋体" w:eastAsia="宋体"/>
                      <w:color w:val="000000" w:themeColor="text1"/>
                      <w:sz w:val="21"/>
                      <w:szCs w:val="24"/>
                      <w:highlight w:val="none"/>
                      <w14:textFill>
                        <w14:solidFill>
                          <w14:schemeClr w14:val="tx1"/>
                        </w14:solidFill>
                      </w14:textFill>
                    </w:rPr>
                    <w:t>物</w:t>
                  </w:r>
                  <w:r>
                    <w:rPr>
                      <w:rFonts w:hint="eastAsia" w:ascii="宋体" w:hAnsi="宋体" w:eastAsia="宋体"/>
                      <w:color w:val="000000" w:themeColor="text1"/>
                      <w:spacing w:val="-3"/>
                      <w:sz w:val="21"/>
                      <w:szCs w:val="24"/>
                      <w:highlight w:val="none"/>
                      <w14:textFill>
                        <w14:solidFill>
                          <w14:schemeClr w14:val="tx1"/>
                        </w14:solidFill>
                      </w14:textFill>
                    </w:rPr>
                    <w:t>暂</w:t>
                  </w:r>
                  <w:r>
                    <w:rPr>
                      <w:rFonts w:hint="eastAsia" w:ascii="宋体" w:hAnsi="宋体" w:eastAsia="宋体"/>
                      <w:color w:val="000000" w:themeColor="text1"/>
                      <w:sz w:val="21"/>
                      <w:szCs w:val="24"/>
                      <w:highlight w:val="none"/>
                      <w14:textFill>
                        <w14:solidFill>
                          <w14:schemeClr w14:val="tx1"/>
                        </w14:solidFill>
                      </w14:textFill>
                    </w:rPr>
                    <w:t>存</w:t>
                  </w:r>
                  <w:r>
                    <w:rPr>
                      <w:rFonts w:hint="eastAsia" w:ascii="宋体" w:hAnsi="宋体" w:eastAsia="宋体"/>
                      <w:color w:val="000000" w:themeColor="text1"/>
                      <w:spacing w:val="-3"/>
                      <w:sz w:val="21"/>
                      <w:szCs w:val="24"/>
                      <w:highlight w:val="none"/>
                      <w14:textFill>
                        <w14:solidFill>
                          <w14:schemeClr w14:val="tx1"/>
                        </w14:solidFill>
                      </w14:textFill>
                    </w:rPr>
                    <w:t>于</w:t>
                  </w:r>
                  <w:r>
                    <w:rPr>
                      <w:rFonts w:hint="eastAsia" w:ascii="宋体" w:hAnsi="宋体" w:eastAsia="宋体"/>
                      <w:color w:val="000000" w:themeColor="text1"/>
                      <w:sz w:val="21"/>
                      <w:szCs w:val="24"/>
                      <w:highlight w:val="none"/>
                      <w14:textFill>
                        <w14:solidFill>
                          <w14:schemeClr w14:val="tx1"/>
                        </w14:solidFill>
                      </w14:textFill>
                    </w:rPr>
                    <w:t>危废暂</w:t>
                  </w:r>
                  <w:r>
                    <w:rPr>
                      <w:rFonts w:hint="eastAsia" w:ascii="宋体" w:hAnsi="宋体" w:eastAsia="宋体"/>
                      <w:color w:val="000000" w:themeColor="text1"/>
                      <w:spacing w:val="-3"/>
                      <w:sz w:val="21"/>
                      <w:szCs w:val="24"/>
                      <w:highlight w:val="none"/>
                      <w14:textFill>
                        <w14:solidFill>
                          <w14:schemeClr w14:val="tx1"/>
                        </w14:solidFill>
                      </w14:textFill>
                    </w:rPr>
                    <w:t>存</w:t>
                  </w:r>
                  <w:r>
                    <w:rPr>
                      <w:rFonts w:hint="eastAsia" w:ascii="宋体" w:hAnsi="宋体" w:eastAsia="宋体"/>
                      <w:color w:val="000000" w:themeColor="text1"/>
                      <w:sz w:val="21"/>
                      <w:szCs w:val="24"/>
                      <w:highlight w:val="none"/>
                      <w14:textFill>
                        <w14:solidFill>
                          <w14:schemeClr w14:val="tx1"/>
                        </w14:solidFill>
                      </w14:textFill>
                    </w:rPr>
                    <w:t>间</w:t>
                  </w:r>
                  <w:r>
                    <w:rPr>
                      <w:rFonts w:hint="eastAsia" w:ascii="宋体" w:hAnsi="宋体" w:eastAsia="宋体"/>
                      <w:color w:val="000000" w:themeColor="text1"/>
                      <w:spacing w:val="-3"/>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定</w:t>
                  </w:r>
                  <w:r>
                    <w:rPr>
                      <w:rFonts w:hint="eastAsia" w:ascii="宋体" w:hAnsi="宋体" w:eastAsia="宋体"/>
                      <w:color w:val="000000" w:themeColor="text1"/>
                      <w:spacing w:val="-3"/>
                      <w:sz w:val="21"/>
                      <w:szCs w:val="24"/>
                      <w:highlight w:val="none"/>
                      <w14:textFill>
                        <w14:solidFill>
                          <w14:schemeClr w14:val="tx1"/>
                        </w14:solidFill>
                      </w14:textFill>
                    </w:rPr>
                    <w:t>期</w:t>
                  </w:r>
                  <w:r>
                    <w:rPr>
                      <w:rFonts w:hint="eastAsia" w:ascii="宋体" w:hAnsi="宋体" w:eastAsia="宋体"/>
                      <w:color w:val="000000" w:themeColor="text1"/>
                      <w:sz w:val="21"/>
                      <w:szCs w:val="24"/>
                      <w:highlight w:val="none"/>
                      <w14:textFill>
                        <w14:solidFill>
                          <w14:schemeClr w14:val="tx1"/>
                        </w14:solidFill>
                      </w14:textFill>
                    </w:rPr>
                    <w:t>交</w:t>
                  </w:r>
                  <w:r>
                    <w:rPr>
                      <w:rFonts w:hint="eastAsia" w:ascii="宋体" w:hAnsi="宋体" w:eastAsia="宋体"/>
                      <w:color w:val="000000" w:themeColor="text1"/>
                      <w:spacing w:val="-3"/>
                      <w:sz w:val="21"/>
                      <w:szCs w:val="24"/>
                      <w:highlight w:val="none"/>
                      <w14:textFill>
                        <w14:solidFill>
                          <w14:schemeClr w14:val="tx1"/>
                        </w14:solidFill>
                      </w14:textFill>
                    </w:rPr>
                    <w:t>由</w:t>
                  </w:r>
                  <w:r>
                    <w:rPr>
                      <w:rFonts w:hint="eastAsia" w:ascii="宋体" w:hAnsi="宋体" w:eastAsia="宋体"/>
                      <w:color w:val="000000" w:themeColor="text1"/>
                      <w:sz w:val="21"/>
                      <w:szCs w:val="24"/>
                      <w:highlight w:val="none"/>
                      <w14:textFill>
                        <w14:solidFill>
                          <w14:schemeClr w14:val="tx1"/>
                        </w14:solidFill>
                      </w14:textFill>
                    </w:rPr>
                    <w:t>有资质</w:t>
                  </w:r>
                  <w:r>
                    <w:rPr>
                      <w:rFonts w:hint="eastAsia" w:ascii="宋体" w:hAnsi="宋体" w:eastAsia="宋体"/>
                      <w:color w:val="000000" w:themeColor="text1"/>
                      <w:spacing w:val="-3"/>
                      <w:sz w:val="21"/>
                      <w:szCs w:val="24"/>
                      <w:highlight w:val="none"/>
                      <w14:textFill>
                        <w14:solidFill>
                          <w14:schemeClr w14:val="tx1"/>
                        </w14:solidFill>
                      </w14:textFill>
                    </w:rPr>
                    <w:t>单</w:t>
                  </w:r>
                  <w:r>
                    <w:rPr>
                      <w:rFonts w:hint="eastAsia" w:ascii="宋体" w:hAnsi="宋体" w:eastAsia="宋体"/>
                      <w:color w:val="000000" w:themeColor="text1"/>
                      <w:sz w:val="21"/>
                      <w:szCs w:val="24"/>
                      <w:highlight w:val="none"/>
                      <w14:textFill>
                        <w14:solidFill>
                          <w14:schemeClr w14:val="tx1"/>
                        </w14:solidFill>
                      </w14:textFill>
                    </w:rPr>
                    <w:t>位</w:t>
                  </w:r>
                  <w:r>
                    <w:rPr>
                      <w:rFonts w:hint="eastAsia" w:ascii="宋体" w:hAnsi="宋体" w:eastAsia="宋体"/>
                      <w:color w:val="000000" w:themeColor="text1"/>
                      <w:spacing w:val="-3"/>
                      <w:sz w:val="21"/>
                      <w:szCs w:val="24"/>
                      <w:highlight w:val="none"/>
                      <w14:textFill>
                        <w14:solidFill>
                          <w14:schemeClr w14:val="tx1"/>
                        </w14:solidFill>
                      </w14:textFill>
                    </w:rPr>
                    <w:t>进</w:t>
                  </w:r>
                  <w:r>
                    <w:rPr>
                      <w:rFonts w:hint="eastAsia" w:ascii="宋体" w:hAnsi="宋体" w:eastAsia="宋体"/>
                      <w:color w:val="000000" w:themeColor="text1"/>
                      <w:sz w:val="21"/>
                      <w:szCs w:val="24"/>
                      <w:highlight w:val="none"/>
                      <w14:textFill>
                        <w14:solidFill>
                          <w14:schemeClr w14:val="tx1"/>
                        </w14:solidFill>
                      </w14:textFill>
                    </w:rPr>
                    <w:t>行</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pacing w:val="-1"/>
                      <w:sz w:val="21"/>
                      <w:szCs w:val="24"/>
                      <w:highlight w:val="none"/>
                      <w14:textFill>
                        <w14:solidFill>
                          <w14:schemeClr w14:val="tx1"/>
                        </w14:solidFill>
                      </w14:textFill>
                    </w:rPr>
                    <w:t>理</w:t>
                  </w:r>
                  <w:r>
                    <w:rPr>
                      <w:rFonts w:hint="eastAsia" w:ascii="宋体" w:hAnsi="宋体" w:eastAsia="宋体"/>
                      <w:color w:val="000000" w:themeColor="text1"/>
                      <w:sz w:val="21"/>
                      <w:szCs w:val="24"/>
                      <w:highlight w:val="none"/>
                      <w14:textFill>
                        <w14:solidFill>
                          <w14:schemeClr w14:val="tx1"/>
                        </w14:solidFill>
                      </w14:textFill>
                    </w:rPr>
                    <w:t>。</w:t>
                  </w:r>
                </w:p>
              </w:tc>
              <w:tc>
                <w:tcPr>
                  <w:tcW w:w="676" w:type="dxa"/>
                  <w:tcBorders>
                    <w:tl2br w:val="nil"/>
                    <w:tr2bl w:val="nil"/>
                  </w:tcBorders>
                  <w:noWrap w:val="0"/>
                  <w:vAlign w:val="center"/>
                </w:tcPr>
                <w:p w14:paraId="7B0C9549">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01B0CD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6" w:type="dxa"/>
                  <w:tcBorders>
                    <w:tl2br w:val="nil"/>
                    <w:tr2bl w:val="nil"/>
                  </w:tcBorders>
                  <w:noWrap w:val="0"/>
                  <w:vAlign w:val="center"/>
                </w:tcPr>
                <w:p w14:paraId="3183105A">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环境风险防范措施</w:t>
                  </w:r>
                </w:p>
              </w:tc>
              <w:tc>
                <w:tcPr>
                  <w:tcW w:w="2953" w:type="dxa"/>
                  <w:tcBorders>
                    <w:tl2br w:val="nil"/>
                    <w:tr2bl w:val="nil"/>
                  </w:tcBorders>
                  <w:noWrap w:val="0"/>
                  <w:vAlign w:val="center"/>
                </w:tcPr>
                <w:p w14:paraId="5D607604">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pacing w:val="6"/>
                      <w:sz w:val="21"/>
                      <w:szCs w:val="24"/>
                      <w:highlight w:val="none"/>
                      <w14:textFill>
                        <w14:solidFill>
                          <w14:schemeClr w14:val="tx1"/>
                        </w14:solidFill>
                      </w14:textFill>
                    </w:rPr>
                    <w:t>风</w:t>
                  </w:r>
                  <w:r>
                    <w:rPr>
                      <w:rFonts w:hint="eastAsia" w:ascii="宋体" w:hAnsi="宋体" w:eastAsia="宋体"/>
                      <w:color w:val="000000" w:themeColor="text1"/>
                      <w:spacing w:val="4"/>
                      <w:sz w:val="21"/>
                      <w:szCs w:val="24"/>
                      <w:highlight w:val="none"/>
                      <w14:textFill>
                        <w14:solidFill>
                          <w14:schemeClr w14:val="tx1"/>
                        </w14:solidFill>
                      </w14:textFill>
                    </w:rPr>
                    <w:t>险</w:t>
                  </w:r>
                  <w:r>
                    <w:rPr>
                      <w:rFonts w:hint="eastAsia" w:ascii="宋体" w:hAnsi="宋体" w:eastAsia="宋体"/>
                      <w:color w:val="000000" w:themeColor="text1"/>
                      <w:spacing w:val="6"/>
                      <w:sz w:val="21"/>
                      <w:szCs w:val="24"/>
                      <w:highlight w:val="none"/>
                      <w14:textFill>
                        <w14:solidFill>
                          <w14:schemeClr w14:val="tx1"/>
                        </w14:solidFill>
                      </w14:textFill>
                    </w:rPr>
                    <w:t>源</w:t>
                  </w:r>
                  <w:r>
                    <w:rPr>
                      <w:rFonts w:hint="eastAsia" w:ascii="宋体" w:hAnsi="宋体" w:eastAsia="宋体"/>
                      <w:color w:val="000000" w:themeColor="text1"/>
                      <w:spacing w:val="4"/>
                      <w:sz w:val="21"/>
                      <w:szCs w:val="24"/>
                      <w:highlight w:val="none"/>
                      <w14:textFill>
                        <w14:solidFill>
                          <w14:schemeClr w14:val="tx1"/>
                        </w14:solidFill>
                      </w14:textFill>
                    </w:rPr>
                    <w:t>与环</w:t>
                  </w:r>
                  <w:r>
                    <w:rPr>
                      <w:rFonts w:hint="eastAsia" w:ascii="宋体" w:hAnsi="宋体" w:eastAsia="宋体"/>
                      <w:color w:val="000000" w:themeColor="text1"/>
                      <w:spacing w:val="6"/>
                      <w:sz w:val="21"/>
                      <w:szCs w:val="24"/>
                      <w:highlight w:val="none"/>
                      <w14:textFill>
                        <w14:solidFill>
                          <w14:schemeClr w14:val="tx1"/>
                        </w14:solidFill>
                      </w14:textFill>
                    </w:rPr>
                    <w:t>境</w:t>
                  </w:r>
                  <w:r>
                    <w:rPr>
                      <w:rFonts w:hint="eastAsia" w:ascii="宋体" w:hAnsi="宋体" w:eastAsia="宋体"/>
                      <w:color w:val="000000" w:themeColor="text1"/>
                      <w:spacing w:val="4"/>
                      <w:sz w:val="21"/>
                      <w:szCs w:val="24"/>
                      <w:highlight w:val="none"/>
                      <w14:textFill>
                        <w14:solidFill>
                          <w14:schemeClr w14:val="tx1"/>
                        </w14:solidFill>
                      </w14:textFill>
                    </w:rPr>
                    <w:t>敏感</w:t>
                  </w:r>
                  <w:r>
                    <w:rPr>
                      <w:rFonts w:hint="eastAsia" w:ascii="宋体" w:hAnsi="宋体" w:eastAsia="宋体"/>
                      <w:color w:val="000000" w:themeColor="text1"/>
                      <w:spacing w:val="6"/>
                      <w:sz w:val="21"/>
                      <w:szCs w:val="24"/>
                      <w:highlight w:val="none"/>
                      <w14:textFill>
                        <w14:solidFill>
                          <w14:schemeClr w14:val="tx1"/>
                        </w14:solidFill>
                      </w14:textFill>
                    </w:rPr>
                    <w:t>区</w:t>
                  </w:r>
                  <w:r>
                    <w:rPr>
                      <w:rFonts w:hint="eastAsia" w:ascii="宋体" w:hAnsi="宋体" w:eastAsia="宋体"/>
                      <w:color w:val="000000" w:themeColor="text1"/>
                      <w:spacing w:val="4"/>
                      <w:sz w:val="21"/>
                      <w:szCs w:val="24"/>
                      <w:highlight w:val="none"/>
                      <w14:textFill>
                        <w14:solidFill>
                          <w14:schemeClr w14:val="tx1"/>
                        </w14:solidFill>
                      </w14:textFill>
                    </w:rPr>
                    <w:t>保持</w:t>
                  </w:r>
                  <w:r>
                    <w:rPr>
                      <w:rFonts w:hint="eastAsia" w:ascii="宋体" w:hAnsi="宋体" w:eastAsia="宋体"/>
                      <w:color w:val="000000" w:themeColor="text1"/>
                      <w:sz w:val="21"/>
                      <w:szCs w:val="24"/>
                      <w:highlight w:val="none"/>
                      <w14:textFill>
                        <w14:solidFill>
                          <w14:schemeClr w14:val="tx1"/>
                        </w14:solidFill>
                      </w14:textFill>
                    </w:rPr>
                    <w:t>合</w:t>
                  </w:r>
                  <w:r>
                    <w:rPr>
                      <w:rFonts w:hint="eastAsia" w:ascii="宋体" w:hAnsi="宋体" w:eastAsia="宋体"/>
                      <w:color w:val="000000" w:themeColor="text1"/>
                      <w:spacing w:val="6"/>
                      <w:sz w:val="21"/>
                      <w:szCs w:val="24"/>
                      <w:highlight w:val="none"/>
                      <w14:textFill>
                        <w14:solidFill>
                          <w14:schemeClr w14:val="tx1"/>
                        </w14:solidFill>
                      </w14:textFill>
                    </w:rPr>
                    <w:t>理</w:t>
                  </w:r>
                  <w:r>
                    <w:rPr>
                      <w:rFonts w:hint="eastAsia" w:ascii="宋体" w:hAnsi="宋体" w:eastAsia="宋体"/>
                      <w:color w:val="000000" w:themeColor="text1"/>
                      <w:spacing w:val="4"/>
                      <w:sz w:val="21"/>
                      <w:szCs w:val="24"/>
                      <w:highlight w:val="none"/>
                      <w14:textFill>
                        <w14:solidFill>
                          <w14:schemeClr w14:val="tx1"/>
                        </w14:solidFill>
                      </w14:textFill>
                    </w:rPr>
                    <w:t>的</w:t>
                  </w:r>
                  <w:r>
                    <w:rPr>
                      <w:rFonts w:hint="eastAsia" w:ascii="宋体" w:hAnsi="宋体" w:eastAsia="宋体"/>
                      <w:color w:val="000000" w:themeColor="text1"/>
                      <w:spacing w:val="6"/>
                      <w:sz w:val="21"/>
                      <w:szCs w:val="24"/>
                      <w:highlight w:val="none"/>
                      <w14:textFill>
                        <w14:solidFill>
                          <w14:schemeClr w14:val="tx1"/>
                        </w14:solidFill>
                      </w14:textFill>
                    </w:rPr>
                    <w:t>空</w:t>
                  </w:r>
                  <w:r>
                    <w:rPr>
                      <w:rFonts w:hint="eastAsia" w:ascii="宋体" w:hAnsi="宋体" w:eastAsia="宋体"/>
                      <w:color w:val="000000" w:themeColor="text1"/>
                      <w:spacing w:val="4"/>
                      <w:sz w:val="21"/>
                      <w:szCs w:val="24"/>
                      <w:highlight w:val="none"/>
                      <w14:textFill>
                        <w14:solidFill>
                          <w14:schemeClr w14:val="tx1"/>
                        </w14:solidFill>
                      </w14:textFill>
                    </w:rPr>
                    <w:t>间距</w:t>
                  </w:r>
                  <w:r>
                    <w:rPr>
                      <w:rFonts w:hint="eastAsia" w:ascii="宋体" w:hAnsi="宋体" w:eastAsia="宋体"/>
                      <w:color w:val="000000" w:themeColor="text1"/>
                      <w:spacing w:val="6"/>
                      <w:sz w:val="21"/>
                      <w:szCs w:val="24"/>
                      <w:highlight w:val="none"/>
                      <w14:textFill>
                        <w14:solidFill>
                          <w14:schemeClr w14:val="tx1"/>
                        </w14:solidFill>
                      </w14:textFill>
                    </w:rPr>
                    <w:t>离</w:t>
                  </w:r>
                  <w:r>
                    <w:rPr>
                      <w:rFonts w:hint="eastAsia" w:ascii="宋体" w:hAnsi="宋体" w:eastAsia="宋体"/>
                      <w:color w:val="000000" w:themeColor="text1"/>
                      <w:spacing w:val="4"/>
                      <w:sz w:val="21"/>
                      <w:szCs w:val="24"/>
                      <w:highlight w:val="none"/>
                      <w14:textFill>
                        <w14:solidFill>
                          <w14:schemeClr w14:val="tx1"/>
                        </w14:solidFill>
                      </w14:textFill>
                    </w:rPr>
                    <w:t>，规</w:t>
                  </w:r>
                  <w:r>
                    <w:rPr>
                      <w:rFonts w:hint="eastAsia" w:ascii="宋体" w:hAnsi="宋体" w:eastAsia="宋体"/>
                      <w:color w:val="000000" w:themeColor="text1"/>
                      <w:spacing w:val="6"/>
                      <w:sz w:val="21"/>
                      <w:szCs w:val="24"/>
                      <w:highlight w:val="none"/>
                      <w14:textFill>
                        <w14:solidFill>
                          <w14:schemeClr w14:val="tx1"/>
                        </w14:solidFill>
                      </w14:textFill>
                    </w:rPr>
                    <w:t>划</w:t>
                  </w:r>
                  <w:r>
                    <w:rPr>
                      <w:rFonts w:hint="eastAsia" w:ascii="宋体" w:hAnsi="宋体" w:eastAsia="宋体"/>
                      <w:color w:val="000000" w:themeColor="text1"/>
                      <w:spacing w:val="4"/>
                      <w:sz w:val="21"/>
                      <w:szCs w:val="24"/>
                      <w:highlight w:val="none"/>
                      <w14:textFill>
                        <w14:solidFill>
                          <w14:schemeClr w14:val="tx1"/>
                        </w14:solidFill>
                      </w14:textFill>
                    </w:rPr>
                    <w:t>区设</w:t>
                  </w:r>
                  <w:r>
                    <w:rPr>
                      <w:rFonts w:hint="eastAsia" w:ascii="宋体" w:hAnsi="宋体" w:eastAsia="宋体"/>
                      <w:color w:val="000000" w:themeColor="text1"/>
                      <w:sz w:val="21"/>
                      <w:szCs w:val="24"/>
                      <w:highlight w:val="none"/>
                      <w14:textFill>
                        <w14:solidFill>
                          <w14:schemeClr w14:val="tx1"/>
                        </w14:solidFill>
                      </w14:textFill>
                    </w:rPr>
                    <w:t>三</w:t>
                  </w:r>
                  <w:r>
                    <w:rPr>
                      <w:rFonts w:hint="eastAsia" w:ascii="宋体" w:hAnsi="宋体" w:eastAsia="宋体"/>
                      <w:color w:val="000000" w:themeColor="text1"/>
                      <w:spacing w:val="6"/>
                      <w:sz w:val="21"/>
                      <w:szCs w:val="24"/>
                      <w:highlight w:val="none"/>
                      <w14:textFill>
                        <w14:solidFill>
                          <w14:schemeClr w14:val="tx1"/>
                        </w14:solidFill>
                      </w14:textFill>
                    </w:rPr>
                    <w:t>级</w:t>
                  </w:r>
                  <w:r>
                    <w:rPr>
                      <w:rFonts w:hint="eastAsia" w:ascii="宋体" w:hAnsi="宋体" w:eastAsia="宋体"/>
                      <w:color w:val="000000" w:themeColor="text1"/>
                      <w:spacing w:val="4"/>
                      <w:sz w:val="21"/>
                      <w:szCs w:val="24"/>
                      <w:highlight w:val="none"/>
                      <w14:textFill>
                        <w14:solidFill>
                          <w14:schemeClr w14:val="tx1"/>
                        </w14:solidFill>
                      </w14:textFill>
                    </w:rPr>
                    <w:t>环</w:t>
                  </w:r>
                  <w:r>
                    <w:rPr>
                      <w:rFonts w:hint="eastAsia" w:ascii="宋体" w:hAnsi="宋体" w:eastAsia="宋体"/>
                      <w:color w:val="000000" w:themeColor="text1"/>
                      <w:spacing w:val="6"/>
                      <w:sz w:val="21"/>
                      <w:szCs w:val="24"/>
                      <w:highlight w:val="none"/>
                      <w14:textFill>
                        <w14:solidFill>
                          <w14:schemeClr w14:val="tx1"/>
                        </w14:solidFill>
                      </w14:textFill>
                    </w:rPr>
                    <w:t>境</w:t>
                  </w:r>
                  <w:r>
                    <w:rPr>
                      <w:rFonts w:hint="eastAsia" w:ascii="宋体" w:hAnsi="宋体" w:eastAsia="宋体"/>
                      <w:color w:val="000000" w:themeColor="text1"/>
                      <w:spacing w:val="4"/>
                      <w:sz w:val="21"/>
                      <w:szCs w:val="24"/>
                      <w:highlight w:val="none"/>
                      <w14:textFill>
                        <w14:solidFill>
                          <w14:schemeClr w14:val="tx1"/>
                        </w14:solidFill>
                      </w14:textFill>
                    </w:rPr>
                    <w:t>风险</w:t>
                  </w:r>
                  <w:r>
                    <w:rPr>
                      <w:rFonts w:hint="eastAsia" w:ascii="宋体" w:hAnsi="宋体" w:eastAsia="宋体"/>
                      <w:color w:val="000000" w:themeColor="text1"/>
                      <w:spacing w:val="6"/>
                      <w:sz w:val="21"/>
                      <w:szCs w:val="24"/>
                      <w:highlight w:val="none"/>
                      <w14:textFill>
                        <w14:solidFill>
                          <w14:schemeClr w14:val="tx1"/>
                        </w14:solidFill>
                      </w14:textFill>
                    </w:rPr>
                    <w:t>事</w:t>
                  </w:r>
                  <w:r>
                    <w:rPr>
                      <w:rFonts w:hint="eastAsia" w:ascii="宋体" w:hAnsi="宋体" w:eastAsia="宋体"/>
                      <w:color w:val="000000" w:themeColor="text1"/>
                      <w:spacing w:val="4"/>
                      <w:sz w:val="21"/>
                      <w:szCs w:val="24"/>
                      <w:highlight w:val="none"/>
                      <w14:textFill>
                        <w14:solidFill>
                          <w14:schemeClr w14:val="tx1"/>
                        </w14:solidFill>
                      </w14:textFill>
                    </w:rPr>
                    <w:t>故防</w:t>
                  </w:r>
                  <w:r>
                    <w:rPr>
                      <w:rFonts w:hint="eastAsia" w:ascii="宋体" w:hAnsi="宋体" w:eastAsia="宋体"/>
                      <w:color w:val="000000" w:themeColor="text1"/>
                      <w:spacing w:val="6"/>
                      <w:sz w:val="21"/>
                      <w:szCs w:val="24"/>
                      <w:highlight w:val="none"/>
                      <w14:textFill>
                        <w14:solidFill>
                          <w14:schemeClr w14:val="tx1"/>
                        </w14:solidFill>
                      </w14:textFill>
                    </w:rPr>
                    <w:t>范</w:t>
                  </w:r>
                  <w:r>
                    <w:rPr>
                      <w:rFonts w:hint="eastAsia" w:ascii="宋体" w:hAnsi="宋体" w:eastAsia="宋体"/>
                      <w:color w:val="000000" w:themeColor="text1"/>
                      <w:spacing w:val="4"/>
                      <w:sz w:val="21"/>
                      <w:szCs w:val="24"/>
                      <w:highlight w:val="none"/>
                      <w14:textFill>
                        <w14:solidFill>
                          <w14:schemeClr w14:val="tx1"/>
                        </w14:solidFill>
                      </w14:textFill>
                    </w:rPr>
                    <w:t>措施</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pacing w:val="6"/>
                      <w:sz w:val="21"/>
                      <w:szCs w:val="24"/>
                      <w:highlight w:val="none"/>
                      <w14:textFill>
                        <w14:solidFill>
                          <w14:schemeClr w14:val="tx1"/>
                        </w14:solidFill>
                      </w14:textFill>
                    </w:rPr>
                    <w:t>杜</w:t>
                  </w:r>
                  <w:r>
                    <w:rPr>
                      <w:rFonts w:hint="eastAsia" w:ascii="宋体" w:hAnsi="宋体" w:eastAsia="宋体"/>
                      <w:color w:val="000000" w:themeColor="text1"/>
                      <w:spacing w:val="4"/>
                      <w:sz w:val="21"/>
                      <w:szCs w:val="24"/>
                      <w:highlight w:val="none"/>
                      <w14:textFill>
                        <w14:solidFill>
                          <w14:schemeClr w14:val="tx1"/>
                        </w14:solidFill>
                      </w14:textFill>
                    </w:rPr>
                    <w:t>绝</w:t>
                  </w:r>
                  <w:r>
                    <w:rPr>
                      <w:rFonts w:hint="eastAsia" w:ascii="宋体" w:hAnsi="宋体" w:eastAsia="宋体"/>
                      <w:color w:val="000000" w:themeColor="text1"/>
                      <w:spacing w:val="6"/>
                      <w:sz w:val="21"/>
                      <w:szCs w:val="24"/>
                      <w:highlight w:val="none"/>
                      <w14:textFill>
                        <w14:solidFill>
                          <w14:schemeClr w14:val="tx1"/>
                        </w14:solidFill>
                      </w14:textFill>
                    </w:rPr>
                    <w:t>危</w:t>
                  </w:r>
                  <w:r>
                    <w:rPr>
                      <w:rFonts w:hint="eastAsia" w:ascii="宋体" w:hAnsi="宋体" w:eastAsia="宋体"/>
                      <w:color w:val="000000" w:themeColor="text1"/>
                      <w:spacing w:val="4"/>
                      <w:sz w:val="21"/>
                      <w:szCs w:val="24"/>
                      <w:highlight w:val="none"/>
                      <w14:textFill>
                        <w14:solidFill>
                          <w14:schemeClr w14:val="tx1"/>
                        </w14:solidFill>
                      </w14:textFill>
                    </w:rPr>
                    <w:t>化品</w:t>
                  </w:r>
                  <w:r>
                    <w:rPr>
                      <w:rFonts w:hint="eastAsia" w:ascii="宋体" w:hAnsi="宋体" w:eastAsia="宋体"/>
                      <w:color w:val="000000" w:themeColor="text1"/>
                      <w:spacing w:val="6"/>
                      <w:sz w:val="21"/>
                      <w:szCs w:val="24"/>
                      <w:highlight w:val="none"/>
                      <w14:textFill>
                        <w14:solidFill>
                          <w14:schemeClr w14:val="tx1"/>
                        </w14:solidFill>
                      </w14:textFill>
                    </w:rPr>
                    <w:t>泄</w:t>
                  </w:r>
                  <w:r>
                    <w:rPr>
                      <w:rFonts w:hint="eastAsia" w:ascii="宋体" w:hAnsi="宋体" w:eastAsia="宋体"/>
                      <w:color w:val="000000" w:themeColor="text1"/>
                      <w:spacing w:val="4"/>
                      <w:sz w:val="21"/>
                      <w:szCs w:val="24"/>
                      <w:highlight w:val="none"/>
                      <w14:textFill>
                        <w14:solidFill>
                          <w14:schemeClr w14:val="tx1"/>
                        </w14:solidFill>
                      </w14:textFill>
                    </w:rPr>
                    <w:t>漏、</w:t>
                  </w:r>
                  <w:r>
                    <w:rPr>
                      <w:rFonts w:hint="eastAsia" w:ascii="宋体" w:hAnsi="宋体" w:eastAsia="宋体"/>
                      <w:color w:val="000000" w:themeColor="text1"/>
                      <w:spacing w:val="6"/>
                      <w:sz w:val="21"/>
                      <w:szCs w:val="24"/>
                      <w:highlight w:val="none"/>
                      <w14:textFill>
                        <w14:solidFill>
                          <w14:schemeClr w14:val="tx1"/>
                        </w14:solidFill>
                      </w14:textFill>
                    </w:rPr>
                    <w:t>事</w:t>
                  </w:r>
                  <w:r>
                    <w:rPr>
                      <w:rFonts w:hint="eastAsia" w:ascii="宋体" w:hAnsi="宋体" w:eastAsia="宋体"/>
                      <w:color w:val="000000" w:themeColor="text1"/>
                      <w:spacing w:val="4"/>
                      <w:sz w:val="21"/>
                      <w:szCs w:val="24"/>
                      <w:highlight w:val="none"/>
                      <w14:textFill>
                        <w14:solidFill>
                          <w14:schemeClr w14:val="tx1"/>
                        </w14:solidFill>
                      </w14:textFill>
                    </w:rPr>
                    <w:t>故排</w:t>
                  </w:r>
                  <w:r>
                    <w:rPr>
                      <w:rFonts w:hint="eastAsia" w:ascii="宋体" w:hAnsi="宋体" w:eastAsia="宋体"/>
                      <w:color w:val="000000" w:themeColor="text1"/>
                      <w:sz w:val="21"/>
                      <w:szCs w:val="24"/>
                      <w:highlight w:val="none"/>
                      <w14:textFill>
                        <w14:solidFill>
                          <w14:schemeClr w14:val="tx1"/>
                        </w14:solidFill>
                      </w14:textFill>
                    </w:rPr>
                    <w:t>放等，</w:t>
                  </w:r>
                  <w:r>
                    <w:rPr>
                      <w:rFonts w:hint="eastAsia" w:ascii="宋体" w:hAnsi="宋体" w:eastAsia="宋体"/>
                      <w:color w:val="000000" w:themeColor="text1"/>
                      <w:spacing w:val="-3"/>
                      <w:sz w:val="21"/>
                      <w:szCs w:val="24"/>
                      <w:highlight w:val="none"/>
                      <w14:textFill>
                        <w14:solidFill>
                          <w14:schemeClr w14:val="tx1"/>
                        </w14:solidFill>
                      </w14:textFill>
                    </w:rPr>
                    <w:t>确</w:t>
                  </w:r>
                  <w:r>
                    <w:rPr>
                      <w:rFonts w:hint="eastAsia" w:ascii="宋体" w:hAnsi="宋体" w:eastAsia="宋体"/>
                      <w:color w:val="000000" w:themeColor="text1"/>
                      <w:sz w:val="21"/>
                      <w:szCs w:val="24"/>
                      <w:highlight w:val="none"/>
                      <w14:textFill>
                        <w14:solidFill>
                          <w14:schemeClr w14:val="tx1"/>
                        </w14:solidFill>
                      </w14:textFill>
                    </w:rPr>
                    <w:t>保</w:t>
                  </w:r>
                  <w:r>
                    <w:rPr>
                      <w:rFonts w:hint="eastAsia" w:ascii="宋体" w:hAnsi="宋体" w:eastAsia="宋体"/>
                      <w:color w:val="000000" w:themeColor="text1"/>
                      <w:spacing w:val="-3"/>
                      <w:sz w:val="21"/>
                      <w:szCs w:val="24"/>
                      <w:highlight w:val="none"/>
                      <w14:textFill>
                        <w14:solidFill>
                          <w14:schemeClr w14:val="tx1"/>
                        </w14:solidFill>
                      </w14:textFill>
                    </w:rPr>
                    <w:t>环</w:t>
                  </w:r>
                  <w:r>
                    <w:rPr>
                      <w:rFonts w:hint="eastAsia" w:ascii="宋体" w:hAnsi="宋体" w:eastAsia="宋体"/>
                      <w:color w:val="000000" w:themeColor="text1"/>
                      <w:sz w:val="21"/>
                      <w:szCs w:val="24"/>
                      <w:highlight w:val="none"/>
                      <w14:textFill>
                        <w14:solidFill>
                          <w14:schemeClr w14:val="tx1"/>
                        </w14:solidFill>
                      </w14:textFill>
                    </w:rPr>
                    <w:t>境</w:t>
                  </w:r>
                  <w:r>
                    <w:rPr>
                      <w:rFonts w:hint="eastAsia" w:ascii="宋体" w:hAnsi="宋体" w:eastAsia="宋体"/>
                      <w:color w:val="000000" w:themeColor="text1"/>
                      <w:spacing w:val="-3"/>
                      <w:sz w:val="21"/>
                      <w:szCs w:val="24"/>
                      <w:highlight w:val="none"/>
                      <w14:textFill>
                        <w14:solidFill>
                          <w14:schemeClr w14:val="tx1"/>
                        </w14:solidFill>
                      </w14:textFill>
                    </w:rPr>
                    <w:t>安</w:t>
                  </w:r>
                  <w:r>
                    <w:rPr>
                      <w:rFonts w:hint="eastAsia" w:ascii="宋体" w:hAnsi="宋体" w:eastAsia="宋体"/>
                      <w:color w:val="000000" w:themeColor="text1"/>
                      <w:sz w:val="21"/>
                      <w:szCs w:val="24"/>
                      <w:highlight w:val="none"/>
                      <w14:textFill>
                        <w14:solidFill>
                          <w14:schemeClr w14:val="tx1"/>
                        </w14:solidFill>
                      </w14:textFill>
                    </w:rPr>
                    <w:t>全。</w:t>
                  </w:r>
                </w:p>
              </w:tc>
              <w:tc>
                <w:tcPr>
                  <w:tcW w:w="2555" w:type="dxa"/>
                  <w:tcBorders>
                    <w:tl2br w:val="nil"/>
                    <w:tr2bl w:val="nil"/>
                  </w:tcBorders>
                  <w:noWrap w:val="0"/>
                  <w:vAlign w:val="center"/>
                </w:tcPr>
                <w:p w14:paraId="342672E1">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pacing w:val="-3"/>
                      <w:sz w:val="21"/>
                      <w:szCs w:val="24"/>
                      <w:highlight w:val="none"/>
                      <w14:textFill>
                        <w14:solidFill>
                          <w14:schemeClr w14:val="tx1"/>
                        </w14:solidFill>
                      </w14:textFill>
                    </w:rPr>
                    <w:t>营</w:t>
                  </w:r>
                  <w:r>
                    <w:rPr>
                      <w:rFonts w:hint="eastAsia" w:ascii="宋体" w:hAnsi="宋体" w:eastAsia="宋体"/>
                      <w:color w:val="000000" w:themeColor="text1"/>
                      <w:sz w:val="21"/>
                      <w:szCs w:val="24"/>
                      <w:highlight w:val="none"/>
                      <w14:textFill>
                        <w14:solidFill>
                          <w14:schemeClr w14:val="tx1"/>
                        </w14:solidFill>
                      </w14:textFill>
                    </w:rPr>
                    <w:t>运</w:t>
                  </w:r>
                  <w:r>
                    <w:rPr>
                      <w:rFonts w:hint="eastAsia" w:ascii="宋体" w:hAnsi="宋体" w:eastAsia="宋体"/>
                      <w:color w:val="000000" w:themeColor="text1"/>
                      <w:spacing w:val="-3"/>
                      <w:sz w:val="21"/>
                      <w:szCs w:val="24"/>
                      <w:highlight w:val="none"/>
                      <w14:textFill>
                        <w14:solidFill>
                          <w14:schemeClr w14:val="tx1"/>
                        </w14:solidFill>
                      </w14:textFill>
                    </w:rPr>
                    <w:t>期</w:t>
                  </w:r>
                  <w:r>
                    <w:rPr>
                      <w:rFonts w:hint="eastAsia" w:ascii="宋体" w:hAnsi="宋体" w:eastAsia="宋体"/>
                      <w:color w:val="000000" w:themeColor="text1"/>
                      <w:sz w:val="21"/>
                      <w:szCs w:val="24"/>
                      <w:highlight w:val="none"/>
                      <w14:textFill>
                        <w14:solidFill>
                          <w14:schemeClr w14:val="tx1"/>
                        </w14:solidFill>
                      </w14:textFill>
                    </w:rPr>
                    <w:t>采</w:t>
                  </w:r>
                  <w:r>
                    <w:rPr>
                      <w:rFonts w:hint="eastAsia" w:ascii="宋体" w:hAnsi="宋体" w:eastAsia="宋体"/>
                      <w:color w:val="000000" w:themeColor="text1"/>
                      <w:spacing w:val="-3"/>
                      <w:sz w:val="21"/>
                      <w:szCs w:val="24"/>
                      <w:highlight w:val="none"/>
                      <w14:textFill>
                        <w14:solidFill>
                          <w14:schemeClr w14:val="tx1"/>
                        </w14:solidFill>
                      </w14:textFill>
                    </w:rPr>
                    <w:t>取</w:t>
                  </w:r>
                  <w:r>
                    <w:rPr>
                      <w:rFonts w:hint="eastAsia" w:ascii="宋体" w:hAnsi="宋体" w:eastAsia="宋体"/>
                      <w:color w:val="000000" w:themeColor="text1"/>
                      <w:sz w:val="21"/>
                      <w:szCs w:val="24"/>
                      <w:highlight w:val="none"/>
                      <w14:textFill>
                        <w14:solidFill>
                          <w14:schemeClr w14:val="tx1"/>
                        </w14:solidFill>
                      </w14:textFill>
                    </w:rPr>
                    <w:t>相</w:t>
                  </w:r>
                  <w:r>
                    <w:rPr>
                      <w:rFonts w:hint="eastAsia" w:ascii="宋体" w:hAnsi="宋体" w:eastAsia="宋体"/>
                      <w:color w:val="000000" w:themeColor="text1"/>
                      <w:spacing w:val="-3"/>
                      <w:sz w:val="21"/>
                      <w:szCs w:val="24"/>
                      <w:highlight w:val="none"/>
                      <w14:textFill>
                        <w14:solidFill>
                          <w14:schemeClr w14:val="tx1"/>
                        </w14:solidFill>
                      </w14:textFill>
                    </w:rPr>
                    <w:t>应</w:t>
                  </w:r>
                  <w:r>
                    <w:rPr>
                      <w:rFonts w:hint="eastAsia" w:ascii="宋体" w:hAnsi="宋体" w:eastAsia="宋体"/>
                      <w:color w:val="000000" w:themeColor="text1"/>
                      <w:sz w:val="21"/>
                      <w:szCs w:val="24"/>
                      <w:highlight w:val="none"/>
                      <w14:textFill>
                        <w14:solidFill>
                          <w14:schemeClr w14:val="tx1"/>
                        </w14:solidFill>
                      </w14:textFill>
                    </w:rPr>
                    <w:t>防范措</w:t>
                  </w:r>
                  <w:r>
                    <w:rPr>
                      <w:rFonts w:hint="eastAsia" w:ascii="宋体" w:hAnsi="宋体" w:eastAsia="宋体"/>
                      <w:color w:val="000000" w:themeColor="text1"/>
                      <w:spacing w:val="-3"/>
                      <w:sz w:val="21"/>
                      <w:szCs w:val="24"/>
                      <w:highlight w:val="none"/>
                      <w14:textFill>
                        <w14:solidFill>
                          <w14:schemeClr w14:val="tx1"/>
                        </w14:solidFill>
                      </w14:textFill>
                    </w:rPr>
                    <w:t>施</w:t>
                  </w:r>
                  <w:r>
                    <w:rPr>
                      <w:rFonts w:hint="eastAsia" w:ascii="宋体" w:hAnsi="宋体" w:eastAsia="宋体"/>
                      <w:color w:val="000000" w:themeColor="text1"/>
                      <w:spacing w:val="-94"/>
                      <w:sz w:val="21"/>
                      <w:szCs w:val="24"/>
                      <w:highlight w:val="none"/>
                      <w14:textFill>
                        <w14:solidFill>
                          <w14:schemeClr w14:val="tx1"/>
                        </w14:solidFill>
                      </w14:textFill>
                    </w:rPr>
                    <w:t>，</w:t>
                  </w:r>
                  <w:r>
                    <w:rPr>
                      <w:rFonts w:hint="eastAsia" w:ascii="宋体" w:hAnsi="宋体" w:eastAsia="宋体"/>
                      <w:color w:val="000000" w:themeColor="text1"/>
                      <w:spacing w:val="-3"/>
                      <w:sz w:val="21"/>
                      <w:szCs w:val="24"/>
                      <w:highlight w:val="none"/>
                      <w14:textFill>
                        <w14:solidFill>
                          <w14:schemeClr w14:val="tx1"/>
                        </w14:solidFill>
                      </w14:textFill>
                    </w:rPr>
                    <w:t>杜</w:t>
                  </w:r>
                  <w:r>
                    <w:rPr>
                      <w:rFonts w:hint="eastAsia" w:ascii="宋体" w:hAnsi="宋体" w:eastAsia="宋体"/>
                      <w:color w:val="000000" w:themeColor="text1"/>
                      <w:sz w:val="21"/>
                      <w:szCs w:val="24"/>
                      <w:highlight w:val="none"/>
                      <w14:textFill>
                        <w14:solidFill>
                          <w14:schemeClr w14:val="tx1"/>
                        </w14:solidFill>
                      </w14:textFill>
                    </w:rPr>
                    <w:t>绝</w:t>
                  </w:r>
                  <w:r>
                    <w:rPr>
                      <w:rFonts w:hint="eastAsia" w:ascii="宋体" w:hAnsi="宋体" w:eastAsia="宋体"/>
                      <w:color w:val="000000" w:themeColor="text1"/>
                      <w:spacing w:val="-3"/>
                      <w:sz w:val="21"/>
                      <w:szCs w:val="24"/>
                      <w:highlight w:val="none"/>
                      <w14:textFill>
                        <w14:solidFill>
                          <w14:schemeClr w14:val="tx1"/>
                        </w14:solidFill>
                      </w14:textFill>
                    </w:rPr>
                    <w:t>事</w:t>
                  </w:r>
                  <w:r>
                    <w:rPr>
                      <w:rFonts w:hint="eastAsia" w:ascii="宋体" w:hAnsi="宋体" w:eastAsia="宋体"/>
                      <w:color w:val="000000" w:themeColor="text1"/>
                      <w:sz w:val="21"/>
                      <w:szCs w:val="24"/>
                      <w:highlight w:val="none"/>
                      <w14:textFill>
                        <w14:solidFill>
                          <w14:schemeClr w14:val="tx1"/>
                        </w14:solidFill>
                      </w14:textFill>
                    </w:rPr>
                    <w:t>故</w:t>
                  </w:r>
                  <w:r>
                    <w:rPr>
                      <w:rFonts w:hint="eastAsia" w:ascii="宋体" w:hAnsi="宋体" w:eastAsia="宋体"/>
                      <w:color w:val="000000" w:themeColor="text1"/>
                      <w:spacing w:val="-3"/>
                      <w:sz w:val="21"/>
                      <w:szCs w:val="24"/>
                      <w:highlight w:val="none"/>
                      <w14:textFill>
                        <w14:solidFill>
                          <w14:schemeClr w14:val="tx1"/>
                        </w14:solidFill>
                      </w14:textFill>
                    </w:rPr>
                    <w:t>排</w:t>
                  </w:r>
                  <w:r>
                    <w:rPr>
                      <w:rFonts w:hint="eastAsia" w:ascii="宋体" w:hAnsi="宋体" w:eastAsia="宋体"/>
                      <w:color w:val="000000" w:themeColor="text1"/>
                      <w:sz w:val="21"/>
                      <w:szCs w:val="24"/>
                      <w:highlight w:val="none"/>
                      <w14:textFill>
                        <w14:solidFill>
                          <w14:schemeClr w14:val="tx1"/>
                        </w14:solidFill>
                      </w14:textFill>
                    </w:rPr>
                    <w:t>放，确保</w:t>
                  </w:r>
                  <w:r>
                    <w:rPr>
                      <w:rFonts w:hint="eastAsia" w:ascii="宋体" w:hAnsi="宋体" w:eastAsia="宋体"/>
                      <w:color w:val="000000" w:themeColor="text1"/>
                      <w:spacing w:val="-3"/>
                      <w:sz w:val="21"/>
                      <w:szCs w:val="24"/>
                      <w:highlight w:val="none"/>
                      <w14:textFill>
                        <w14:solidFill>
                          <w14:schemeClr w14:val="tx1"/>
                        </w14:solidFill>
                      </w14:textFill>
                    </w:rPr>
                    <w:t>环</w:t>
                  </w:r>
                  <w:r>
                    <w:rPr>
                      <w:rFonts w:hint="eastAsia" w:ascii="宋体" w:hAnsi="宋体" w:eastAsia="宋体"/>
                      <w:color w:val="000000" w:themeColor="text1"/>
                      <w:sz w:val="21"/>
                      <w:szCs w:val="24"/>
                      <w:highlight w:val="none"/>
                      <w14:textFill>
                        <w14:solidFill>
                          <w14:schemeClr w14:val="tx1"/>
                        </w14:solidFill>
                      </w14:textFill>
                    </w:rPr>
                    <w:t>境</w:t>
                  </w:r>
                  <w:r>
                    <w:rPr>
                      <w:rFonts w:hint="eastAsia" w:ascii="宋体" w:hAnsi="宋体" w:eastAsia="宋体"/>
                      <w:color w:val="000000" w:themeColor="text1"/>
                      <w:spacing w:val="-3"/>
                      <w:sz w:val="21"/>
                      <w:szCs w:val="24"/>
                      <w:highlight w:val="none"/>
                      <w14:textFill>
                        <w14:solidFill>
                          <w14:schemeClr w14:val="tx1"/>
                        </w14:solidFill>
                      </w14:textFill>
                    </w:rPr>
                    <w:t>安</w:t>
                  </w:r>
                  <w:r>
                    <w:rPr>
                      <w:rFonts w:hint="eastAsia" w:ascii="宋体" w:hAnsi="宋体" w:eastAsia="宋体"/>
                      <w:color w:val="000000" w:themeColor="text1"/>
                      <w:sz w:val="21"/>
                      <w:szCs w:val="24"/>
                      <w:highlight w:val="none"/>
                      <w14:textFill>
                        <w14:solidFill>
                          <w14:schemeClr w14:val="tx1"/>
                        </w14:solidFill>
                      </w14:textFill>
                    </w:rPr>
                    <w:t>全。</w:t>
                  </w:r>
                </w:p>
              </w:tc>
              <w:tc>
                <w:tcPr>
                  <w:tcW w:w="676" w:type="dxa"/>
                  <w:tcBorders>
                    <w:tl2br w:val="nil"/>
                    <w:tr2bl w:val="nil"/>
                  </w:tcBorders>
                  <w:noWrap w:val="0"/>
                  <w:vAlign w:val="center"/>
                </w:tcPr>
                <w:p w14:paraId="5E0153B3">
                  <w:pPr>
                    <w:pStyle w:val="54"/>
                    <w:keepNext w:val="0"/>
                    <w:keepLines w:val="0"/>
                    <w:pageBreakBefore w:val="0"/>
                    <w:widowControl w:val="0"/>
                    <w:kinsoku/>
                    <w:wordWrap/>
                    <w:overflowPunct w:val="0"/>
                    <w:topLinePunct w:val="0"/>
                    <w:autoSpaceDE/>
                    <w:autoSpaceDN/>
                    <w:bidi w:val="0"/>
                    <w:adjustRightInd w:val="0"/>
                    <w:snapToGrid w:val="0"/>
                    <w:spacing w:beforeLines="0" w:afterLines="0" w:line="240" w:lineRule="auto"/>
                    <w:ind w:left="0" w:right="0"/>
                    <w:jc w:val="center"/>
                    <w:textAlignment w:val="auto"/>
                    <w:rPr>
                      <w:rFonts w:hint="default"/>
                      <w:color w:val="000000" w:themeColor="text1"/>
                      <w:sz w:val="24"/>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bl>
          <w:p w14:paraId="5543DA5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本项目为</w:t>
            </w:r>
            <w:r>
              <w:rPr>
                <w:rFonts w:hint="default" w:ascii="Times New Roman" w:hAnsi="Times New Roman" w:eastAsia="宋体" w:cs="Times New Roman"/>
                <w:color w:val="000000" w:themeColor="text1"/>
                <w:sz w:val="24"/>
                <w:szCs w:val="24"/>
                <w:highlight w:val="none"/>
                <w14:textFill>
                  <w14:solidFill>
                    <w14:schemeClr w14:val="tx1"/>
                  </w14:solidFill>
                </w14:textFill>
              </w:rPr>
              <w:t>水泥制品制造</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项目，为建材类项目，与蓬溪县火车站工业聚居区“建材”产业定位相符，符合《遂宁市环境保护局关于蓬溪县火车站工业聚居区近期规划环境影响报告书审查意见的函》（遂环函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2016</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40号）中产业定位要求，属于园区内鼓励入园项目，项目类型和生产工艺均不涉及规划环评中“禁止类”所列项目，通过“三废”污染防治措施后可以实现达标排放。</w:t>
            </w:r>
          </w:p>
          <w:p w14:paraId="62CED96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因此，本项目符合蓬溪县火车站工业聚居区控制性详细规划且与蓬溪县火车站工业聚居区近期规划环评相符。</w:t>
            </w:r>
          </w:p>
        </w:tc>
      </w:tr>
    </w:tbl>
    <w:p w14:paraId="2B601C8F">
      <w:pPr>
        <w:autoSpaceDE w:val="0"/>
        <w:autoSpaceDN w:val="0"/>
        <w:adjustRightInd w:val="0"/>
        <w:snapToGrid w:val="0"/>
        <w:spacing w:line="500" w:lineRule="exact"/>
        <w:jc w:val="center"/>
        <w:rPr>
          <w:rFonts w:ascii="Times New Roman" w:hAnsi="Times New Roman" w:eastAsia="宋体"/>
          <w:color w:val="000000" w:themeColor="text1"/>
          <w:kern w:val="0"/>
          <w:sz w:val="24"/>
          <w:szCs w:val="24"/>
          <w:highlight w:val="none"/>
          <w14:textFill>
            <w14:solidFill>
              <w14:schemeClr w14:val="tx1"/>
            </w14:solidFill>
          </w14:textFill>
        </w:rPr>
        <w:sectPr>
          <w:footerReference r:id="rId3" w:type="default"/>
          <w:pgSz w:w="11906" w:h="16838"/>
          <w:pgMar w:top="1417" w:right="1474" w:bottom="1417" w:left="1474"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tbl>
      <w:tblPr>
        <w:tblStyle w:val="20"/>
        <w:tblW w:w="4982"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969"/>
        <w:gridCol w:w="7989"/>
      </w:tblGrid>
      <w:tr w14:paraId="35EC1A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375" w:hRule="atLeast"/>
        </w:trPr>
        <w:tc>
          <w:tcPr>
            <w:tcW w:w="541" w:type="pct"/>
            <w:tcMar>
              <w:top w:w="16" w:type="dxa"/>
              <w:left w:w="16" w:type="dxa"/>
              <w:right w:w="16" w:type="dxa"/>
            </w:tcMar>
            <w:vAlign w:val="center"/>
          </w:tcPr>
          <w:p w14:paraId="2338AFD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其他符合性分析</w:t>
            </w:r>
          </w:p>
        </w:tc>
        <w:tc>
          <w:tcPr>
            <w:tcW w:w="4458" w:type="pct"/>
            <w:tcMar>
              <w:top w:w="16" w:type="dxa"/>
              <w:left w:w="16" w:type="dxa"/>
              <w:right w:w="16" w:type="dxa"/>
            </w:tcMar>
            <w:vAlign w:val="center"/>
          </w:tcPr>
          <w:p w14:paraId="690566AC">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一、产业政策符合性分析</w:t>
            </w:r>
          </w:p>
          <w:p w14:paraId="2FE6A3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根据《国民经济行业分类与代码》（GB/T4754-2017），项目属于“</w:t>
            </w:r>
            <w:r>
              <w:rPr>
                <w:rFonts w:ascii="Times New Roman" w:hAnsi="Times New Roman" w:eastAsia="宋体"/>
                <w:color w:val="000000" w:themeColor="text1"/>
                <w:sz w:val="24"/>
                <w:szCs w:val="24"/>
                <w:highlight w:val="none"/>
                <w14:textFill>
                  <w14:solidFill>
                    <w14:schemeClr w14:val="tx1"/>
                  </w14:solidFill>
                </w14:textFill>
              </w:rPr>
              <w:t>C</w:t>
            </w:r>
            <w:r>
              <w:rPr>
                <w:rFonts w:hint="eastAsia" w:ascii="Times New Roman" w:hAnsi="Times New Roman" w:eastAsia="宋体"/>
                <w:color w:val="000000" w:themeColor="text1"/>
                <w:sz w:val="24"/>
                <w:szCs w:val="24"/>
                <w:highlight w:val="none"/>
                <w14:textFill>
                  <w14:solidFill>
                    <w14:schemeClr w14:val="tx1"/>
                  </w14:solidFill>
                </w14:textFill>
              </w:rPr>
              <w:t>3021 水泥制品制造”，</w:t>
            </w:r>
            <w:r>
              <w:rPr>
                <w:rFonts w:hint="eastAsia" w:ascii="Times New Roman" w:hAnsi="Times New Roman" w:eastAsia="宋体"/>
                <w:color w:val="000000" w:themeColor="text1"/>
                <w:sz w:val="24"/>
                <w:szCs w:val="24"/>
                <w:highlight w:val="none"/>
                <w:lang w:eastAsia="zh-CN"/>
                <w14:textFill>
                  <w14:solidFill>
                    <w14:schemeClr w14:val="tx1"/>
                  </w14:solidFill>
                </w14:textFill>
              </w:rPr>
              <w:t>不涉及《环境保护综合名录（2021）版》中所列“高污染、高能耗”产品及工艺，</w:t>
            </w:r>
            <w:r>
              <w:rPr>
                <w:rFonts w:hint="eastAsia" w:ascii="Times New Roman" w:hAnsi="Times New Roman" w:eastAsia="宋体"/>
                <w:color w:val="000000" w:themeColor="text1"/>
                <w:sz w:val="24"/>
                <w:szCs w:val="24"/>
                <w:highlight w:val="none"/>
                <w14:textFill>
                  <w14:solidFill>
                    <w14:schemeClr w14:val="tx1"/>
                  </w14:solidFill>
                </w14:textFill>
              </w:rPr>
              <w:t>根据中华人民共和国国家发展和改革委员会《产业结构调整指导目录（2019年本）》可知，本项目不属于鼓励类、限制类和淘汰类，允许类不列入《产业结构调整指导目录》，因此本项目属于“允许类”。</w:t>
            </w:r>
          </w:p>
          <w:p w14:paraId="5E90AF1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val="0"/>
                <w:bCs w:val="0"/>
                <w:color w:val="000000" w:themeColor="text1"/>
                <w:sz w:val="24"/>
                <w:szCs w:val="24"/>
                <w:highlight w:val="none"/>
                <w14:textFill>
                  <w14:solidFill>
                    <w14:schemeClr w14:val="tx1"/>
                  </w14:solidFill>
                </w14:textFill>
              </w:rPr>
            </w:pPr>
            <w:r>
              <w:rPr>
                <w:rFonts w:hint="eastAsia" w:ascii="Times New Roman" w:hAnsi="Times New Roman" w:eastAsia="宋体"/>
                <w:b w:val="0"/>
                <w:bCs w:val="0"/>
                <w:color w:val="000000" w:themeColor="text1"/>
                <w:sz w:val="24"/>
                <w:szCs w:val="24"/>
                <w:highlight w:val="none"/>
                <w14:textFill>
                  <w14:solidFill>
                    <w14:schemeClr w14:val="tx1"/>
                  </w14:solidFill>
                </w14:textFill>
              </w:rPr>
              <w:t>同时本项目202</w:t>
            </w:r>
            <w:r>
              <w:rPr>
                <w:rFonts w:hint="eastAsia" w:ascii="Times New Roman" w:hAnsi="Times New Roman" w:eastAsia="宋体"/>
                <w:b w:val="0"/>
                <w:bCs w:val="0"/>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b w:val="0"/>
                <w:bCs w:val="0"/>
                <w:color w:val="000000" w:themeColor="text1"/>
                <w:sz w:val="24"/>
                <w:szCs w:val="24"/>
                <w:highlight w:val="none"/>
                <w14:textFill>
                  <w14:solidFill>
                    <w14:schemeClr w14:val="tx1"/>
                  </w14:solidFill>
                </w14:textFill>
              </w:rPr>
              <w:t>年</w:t>
            </w:r>
            <w:r>
              <w:rPr>
                <w:rFonts w:hint="eastAsia" w:ascii="Times New Roman" w:hAnsi="Times New Roman" w:eastAsia="宋体"/>
                <w:b w:val="0"/>
                <w:bCs w:val="0"/>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 w:val="0"/>
                <w:bCs w:val="0"/>
                <w:color w:val="000000" w:themeColor="text1"/>
                <w:sz w:val="24"/>
                <w:szCs w:val="24"/>
                <w:highlight w:val="none"/>
                <w14:textFill>
                  <w14:solidFill>
                    <w14:schemeClr w14:val="tx1"/>
                  </w14:solidFill>
                </w14:textFill>
              </w:rPr>
              <w:t>月1</w:t>
            </w:r>
            <w:r>
              <w:rPr>
                <w:rFonts w:hint="eastAsia" w:ascii="Times New Roman" w:hAnsi="Times New Roman" w:eastAsia="宋体"/>
                <w:b w:val="0"/>
                <w:bCs w:val="0"/>
                <w:color w:val="000000" w:themeColor="text1"/>
                <w:sz w:val="24"/>
                <w:szCs w:val="24"/>
                <w:highlight w:val="none"/>
                <w:lang w:val="en-US" w:eastAsia="zh-CN"/>
                <w14:textFill>
                  <w14:solidFill>
                    <w14:schemeClr w14:val="tx1"/>
                  </w14:solidFill>
                </w14:textFill>
              </w:rPr>
              <w:t>4</w:t>
            </w:r>
            <w:r>
              <w:rPr>
                <w:rFonts w:hint="eastAsia" w:ascii="Times New Roman" w:hAnsi="Times New Roman" w:eastAsia="宋体"/>
                <w:b w:val="0"/>
                <w:bCs w:val="0"/>
                <w:color w:val="000000" w:themeColor="text1"/>
                <w:sz w:val="24"/>
                <w:szCs w:val="24"/>
                <w:highlight w:val="none"/>
                <w14:textFill>
                  <w14:solidFill>
                    <w14:schemeClr w14:val="tx1"/>
                  </w14:solidFill>
                </w14:textFill>
              </w:rPr>
              <w:t>日经蓬溪县行政审批局备案，备案号为：川投资备【2209-510921-99-01-203288】FGQB-0120号。</w:t>
            </w:r>
          </w:p>
          <w:p w14:paraId="68EBD25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因此，本项目的建设符合国家和地方现行产业政策。</w:t>
            </w:r>
          </w:p>
          <w:p w14:paraId="3704A5F4">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二、土地利用规划符合性分析</w:t>
            </w:r>
          </w:p>
          <w:p w14:paraId="5BF790F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本项目位于本项目位于四川蓬溪经济开发区（火车站工业聚居区）莲花社区一社，场址中心点坐标（</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E</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105°41′38.180″</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N</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30°41′18.106″</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），租赁四川蓬溪经济开发区位于蓬溪县高速公路出口附近的闲置工业用地，用地面积</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86.55亩，临时道路用地3.22亩</w:t>
            </w:r>
            <w:r>
              <w:rPr>
                <w:rFonts w:hint="eastAsia" w:ascii="Times New Roman" w:hAnsi="Times New Roman" w:eastAsia="宋体"/>
                <w:color w:val="000000" w:themeColor="text1"/>
                <w:sz w:val="24"/>
                <w:szCs w:val="24"/>
                <w:highlight w:val="none"/>
                <w:lang w:eastAsia="zh-CN"/>
                <w14:textFill>
                  <w14:solidFill>
                    <w14:schemeClr w14:val="tx1"/>
                  </w14:solidFill>
                </w14:textFill>
              </w:rPr>
              <w:t>。根据《火车站片区高速出入口附近拟出地块规划图》（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2014-39#</w:t>
            </w: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），本项目场站建设用地性质为工业用地，根据《火车站片区高速出入口附近拟出地块规划图》（</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2014-40#</w:t>
            </w: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），本项目临时道路建设用地性质为工业用地，符合规划。</w:t>
            </w:r>
          </w:p>
          <w:p w14:paraId="3AC8959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本项目建设符合土地利用规划。</w:t>
            </w:r>
          </w:p>
          <w:p w14:paraId="31AD1416">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lang w:eastAsia="zh-CN"/>
                <w14:textFill>
                  <w14:solidFill>
                    <w14:schemeClr w14:val="tx1"/>
                  </w14:solidFill>
                </w14:textFill>
              </w:rPr>
              <w:t>三</w:t>
            </w:r>
            <w:r>
              <w:rPr>
                <w:rFonts w:hint="eastAsia" w:ascii="Times New Roman" w:hAnsi="Times New Roman" w:eastAsia="宋体"/>
                <w:b/>
                <w:bCs/>
                <w:color w:val="000000" w:themeColor="text1"/>
                <w:sz w:val="24"/>
                <w:szCs w:val="24"/>
                <w:highlight w:val="none"/>
                <w14:textFill>
                  <w14:solidFill>
                    <w14:schemeClr w14:val="tx1"/>
                  </w14:solidFill>
                </w14:textFill>
              </w:rPr>
              <w:t>、“三线一单”符合性分析</w:t>
            </w:r>
          </w:p>
          <w:p w14:paraId="1A5DA2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根据四川省生态环境厅办公室《关于印发&lt;产业园区规划环评“三线一单”符合性分析技术要点（试行）&gt;和&lt;项目环评“三线一单”符合性分析技术要点（试行）&gt;的通知》（川环办函[2021]469号），</w: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本项目位于</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蓬溪县火车站工业聚居区</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内，园区规划环评未开展与</w: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《遂宁市人民政府关于落实生态保护红线、环境质量底线、资源利用上线和生态环境准入清单实施生态环境分区管控的通知》（遂府函[2021]74号）符合性分析，因此，本项目应</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需分析与“三线一单”的符合性。</w:t>
            </w:r>
          </w:p>
          <w:p w14:paraId="275E415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both"/>
              <w:textAlignment w:val="auto"/>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1、项目所在环境管控单元</w:t>
            </w:r>
          </w:p>
          <w:p w14:paraId="7073F59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根据《遂宁市人民政府关于落实生态保护红线、环境质量底线、资源利用上线和生态环境准入清单实施生态环境分区管控的通知》（遂府函[2021]74号），</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本项目</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蓬溪县火车站工业聚居区</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，属于工业重点管控单元</w:t>
            </w:r>
            <w: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t>。</w:t>
            </w:r>
          </w:p>
          <w:p w14:paraId="08BE2935">
            <w:pPr>
              <w:widowControl w:val="0"/>
              <w:spacing w:line="360" w:lineRule="auto"/>
              <w:jc w:val="center"/>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宋体" w:hAnsi="Courier New" w:eastAsia="宋体" w:cs="Times New Roman"/>
                <w:color w:val="000000" w:themeColor="text1"/>
                <w:kern w:val="2"/>
                <w:sz w:val="21"/>
                <w:szCs w:val="20"/>
                <w:highlight w:val="none"/>
                <w:lang w:val="en-US" w:eastAsia="zh-CN" w:bidi="ar-SA"/>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2907665</wp:posOffset>
                      </wp:positionH>
                      <wp:positionV relativeFrom="paragraph">
                        <wp:posOffset>1095375</wp:posOffset>
                      </wp:positionV>
                      <wp:extent cx="882015" cy="294640"/>
                      <wp:effectExtent l="96520" t="5080" r="12065" b="462280"/>
                      <wp:wrapNone/>
                      <wp:docPr id="15" name="自选图形 1030"/>
                      <wp:cNvGraphicFramePr/>
                      <a:graphic xmlns:a="http://schemas.openxmlformats.org/drawingml/2006/main">
                        <a:graphicData uri="http://schemas.microsoft.com/office/word/2010/wordprocessingShape">
                          <wps:wsp>
                            <wps:cNvSpPr/>
                            <wps:spPr>
                              <a:xfrm>
                                <a:off x="0" y="0"/>
                                <a:ext cx="882015" cy="294640"/>
                              </a:xfrm>
                              <a:prstGeom prst="wedgeRectCallout">
                                <a:avLst>
                                  <a:gd name="adj1" fmla="val -58927"/>
                                  <a:gd name="adj2" fmla="val 195474"/>
                                </a:avLst>
                              </a:prstGeom>
                              <a:solidFill>
                                <a:srgbClr val="FFFFFF"/>
                              </a:solidFill>
                              <a:ln w="9525" cap="flat" cmpd="sng">
                                <a:solidFill>
                                  <a:srgbClr val="000000"/>
                                </a:solidFill>
                                <a:prstDash val="solid"/>
                                <a:miter/>
                                <a:headEnd type="none" w="med" len="med"/>
                                <a:tailEnd type="none" w="med" len="med"/>
                              </a:ln>
                            </wps:spPr>
                            <wps:txbx>
                              <w:txbxContent>
                                <w:p w14:paraId="3008CBC2">
                                  <w:pPr>
                                    <w:rPr>
                                      <w:rFonts w:hint="eastAsia" w:ascii="Times New Roman" w:hAnsi="Times New Roman" w:eastAsia="宋体"/>
                                      <w:b/>
                                      <w:bCs/>
                                      <w:szCs w:val="24"/>
                                    </w:rPr>
                                  </w:pPr>
                                  <w:r>
                                    <w:rPr>
                                      <w:rFonts w:hint="eastAsia" w:ascii="Times New Roman" w:hAnsi="Times New Roman" w:eastAsia="宋体"/>
                                      <w:b/>
                                      <w:bCs/>
                                      <w:szCs w:val="24"/>
                                    </w:rPr>
                                    <w:t>本项目位置</w:t>
                                  </w:r>
                                </w:p>
                              </w:txbxContent>
                            </wps:txbx>
                            <wps:bodyPr wrap="square" upright="1"/>
                          </wps:wsp>
                        </a:graphicData>
                      </a:graphic>
                    </wp:anchor>
                  </w:drawing>
                </mc:Choice>
                <mc:Fallback>
                  <w:pict>
                    <v:shape id="自选图形 1030" o:spid="_x0000_s1026" o:spt="61" type="#_x0000_t61" style="position:absolute;left:0pt;margin-left:228.95pt;margin-top:86.25pt;height:23.2pt;width:69.45pt;z-index:251662336;mso-width-relative:page;mso-height-relative:page;" fillcolor="#FFFFFF" filled="t" stroked="t" coordsize="21600,21600" o:gfxdata="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O+oas3AAAAAsBAAAPAAAAAAAAAAEA&#10;IAAAACIAAABkcnMvZG93bnJldi54bWxQSwECFAAUAAAACACHTuJAxycAtUQCAACfBAAADgAAAAAA&#10;AAABACAAAAArAQAAZHJzL2Uyb0RvYy54bWxQSwUGAAAAAAYABgBZAQAA4QUAAAAA&#10;" adj="-1928,53022">
                      <v:fill on="t" focussize="0,0"/>
                      <v:stroke color="#000000" joinstyle="miter"/>
                      <v:imagedata o:title=""/>
                      <o:lock v:ext="edit" aspectratio="f"/>
                      <v:textbox>
                        <w:txbxContent>
                          <w:p w14:paraId="3008CBC2">
                            <w:pPr>
                              <w:rPr>
                                <w:rFonts w:hint="eastAsia" w:ascii="Times New Roman" w:hAnsi="Times New Roman" w:eastAsia="宋体"/>
                                <w:b/>
                                <w:bCs/>
                                <w:szCs w:val="24"/>
                              </w:rPr>
                            </w:pPr>
                            <w:r>
                              <w:rPr>
                                <w:rFonts w:hint="eastAsia" w:ascii="Times New Roman" w:hAnsi="Times New Roman" w:eastAsia="宋体"/>
                                <w:b/>
                                <w:bCs/>
                                <w:szCs w:val="24"/>
                              </w:rPr>
                              <w:t>本项目位置</w:t>
                            </w:r>
                          </w:p>
                        </w:txbxContent>
                      </v:textbox>
                    </v:shape>
                  </w:pict>
                </mc:Fallback>
              </mc:AlternateContent>
            </w:r>
            <w:r>
              <w:rPr>
                <w:rFonts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drawing>
                <wp:inline distT="0" distB="0" distL="114300" distR="114300">
                  <wp:extent cx="4650105" cy="3294380"/>
                  <wp:effectExtent l="0" t="0" r="17145" b="1270"/>
                  <wp:docPr id="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3"/>
                          <pic:cNvPicPr>
                            <a:picLocks noChangeAspect="1"/>
                          </pic:cNvPicPr>
                        </pic:nvPicPr>
                        <pic:blipFill>
                          <a:blip r:embed="rId7"/>
                          <a:stretch>
                            <a:fillRect/>
                          </a:stretch>
                        </pic:blipFill>
                        <pic:spPr>
                          <a:xfrm>
                            <a:off x="0" y="0"/>
                            <a:ext cx="4650105" cy="3294380"/>
                          </a:xfrm>
                          <a:prstGeom prst="rect">
                            <a:avLst/>
                          </a:prstGeom>
                          <a:noFill/>
                          <a:ln>
                            <a:noFill/>
                          </a:ln>
                        </pic:spPr>
                      </pic:pic>
                    </a:graphicData>
                  </a:graphic>
                </wp:inline>
              </w:drawing>
            </w:r>
          </w:p>
          <w:p w14:paraId="0DDBD883">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图1-1    遂宁市环境管控单元图</w:t>
            </w:r>
          </w:p>
          <w:p w14:paraId="3568EAB5">
            <w:pPr>
              <w:widowControl w:val="0"/>
              <w:spacing w:line="360" w:lineRule="auto"/>
              <w:ind w:firstLine="480" w:firstLineChars="200"/>
              <w:jc w:val="both"/>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同时，根据四川省政务服务网的“三线一单”符合性分析模块查询，本项目位于遂宁市环境综合管控单元工业重点管控单元（管控单元名称：</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蓬溪县火车站工业聚居区</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，管控单元编号：</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ZH51092120003</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）。所涉及环境管控单元如下：</w:t>
            </w:r>
          </w:p>
          <w:p w14:paraId="1E384816">
            <w:pPr>
              <w:widowControl w:val="0"/>
              <w:spacing w:line="360" w:lineRule="auto"/>
              <w:jc w:val="center"/>
              <w:rPr>
                <w:rFonts w:ascii="Times New Roman" w:hAnsi="Times New Roman" w:eastAsia="宋体" w:cs="Times New Roman"/>
                <w:color w:val="000000" w:themeColor="text1"/>
                <w:kern w:val="2"/>
                <w:sz w:val="21"/>
                <w:szCs w:val="20"/>
                <w:highlight w:val="none"/>
                <w:lang w:val="en-US" w:eastAsia="zh-CN" w:bidi="ar-SA"/>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4500880" cy="3395345"/>
                  <wp:effectExtent l="0" t="0" r="13970" b="146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8"/>
                          <a:stretch>
                            <a:fillRect/>
                          </a:stretch>
                        </pic:blipFill>
                        <pic:spPr>
                          <a:xfrm>
                            <a:off x="0" y="0"/>
                            <a:ext cx="4500880" cy="3395345"/>
                          </a:xfrm>
                          <a:prstGeom prst="rect">
                            <a:avLst/>
                          </a:prstGeom>
                          <a:noFill/>
                          <a:ln>
                            <a:noFill/>
                          </a:ln>
                        </pic:spPr>
                      </pic:pic>
                    </a:graphicData>
                  </a:graphic>
                </wp:inline>
              </w:drawing>
            </w:r>
          </w:p>
          <w:p w14:paraId="2268C34A">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图1-</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2</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 xml:space="preserve">    四川省政务服务网的“三线一单”符合性分析模块查询</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结果</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w:t>
            </w:r>
          </w:p>
          <w:p w14:paraId="5C7B20E0">
            <w:pPr>
              <w:widowControl w:val="0"/>
              <w:spacing w:before="120" w:beforeLines="50" w:line="360" w:lineRule="auto"/>
              <w:ind w:firstLine="480" w:firstLineChars="200"/>
              <w:jc w:val="both"/>
              <w:rPr>
                <w:rFonts w:ascii="Times New Roman" w:hAnsi="Times New Roman" w:eastAsia="Helvetica" w:cs="Times New Roman"/>
                <w:color w:val="000000" w:themeColor="text1"/>
                <w:kern w:val="2"/>
                <w:sz w:val="24"/>
                <w:szCs w:val="18"/>
                <w:highlight w:val="none"/>
                <w:lang w:val="en-US" w:eastAsia="zh-CN" w:bidi="ar-SA"/>
                <w14:textFill>
                  <w14:solidFill>
                    <w14:schemeClr w14:val="tx1"/>
                  </w14:solidFill>
                </w14:textFill>
              </w:rPr>
            </w:pPr>
            <w:r>
              <w:rPr>
                <w:rFonts w:ascii="Times New Roman" w:hAnsi="Times New Roman" w:eastAsia="Helvetica" w:cs="Times New Roman"/>
                <w:color w:val="000000" w:themeColor="text1"/>
                <w:kern w:val="2"/>
                <w:sz w:val="24"/>
                <w:szCs w:val="18"/>
                <w:highlight w:val="none"/>
                <w:lang w:val="en-US" w:eastAsia="zh-CN" w:bidi="ar-SA"/>
                <w14:textFill>
                  <w14:solidFill>
                    <w14:schemeClr w14:val="tx1"/>
                  </w14:solidFill>
                </w14:textFill>
              </w:rPr>
              <w:t>项目与管控单元相对位置如下图所示：</w:t>
            </w:r>
          </w:p>
          <w:p w14:paraId="3ADBCAAA">
            <w:pPr>
              <w:widowControl w:val="0"/>
              <w:spacing w:line="360" w:lineRule="auto"/>
              <w:jc w:val="both"/>
              <w:rPr>
                <w:rFonts w:ascii="Times New Roman" w:hAnsi="Times New Roman" w:eastAsia="宋体" w:cs="Times New Roman"/>
                <w:color w:val="000000" w:themeColor="text1"/>
                <w:kern w:val="0"/>
                <w:sz w:val="24"/>
                <w:szCs w:val="20"/>
                <w:highlight w:val="none"/>
                <w:lang w:val="en-US" w:eastAsia="zh-CN" w:bidi="ar-SA"/>
                <w14:textFill>
                  <w14:solidFill>
                    <w14:schemeClr w14:val="tx1"/>
                  </w14:solidFill>
                </w14:textFill>
              </w:rPr>
            </w:pPr>
            <w:r>
              <w:rPr>
                <w:rFonts w:ascii="宋体" w:hAnsi="Courier New" w:eastAsia="宋体" w:cs="Times New Roman"/>
                <w:color w:val="000000" w:themeColor="text1"/>
                <w:kern w:val="2"/>
                <w:sz w:val="21"/>
                <w:szCs w:val="20"/>
                <w:highlight w:val="none"/>
                <w:lang w:val="en-US" w:eastAsia="zh-CN" w:bidi="ar-SA"/>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1126490</wp:posOffset>
                      </wp:positionH>
                      <wp:positionV relativeFrom="paragraph">
                        <wp:posOffset>89535</wp:posOffset>
                      </wp:positionV>
                      <wp:extent cx="882015" cy="294640"/>
                      <wp:effectExtent l="5080" t="5080" r="8255" b="500380"/>
                      <wp:wrapNone/>
                      <wp:docPr id="21" name="自选图形 1030"/>
                      <wp:cNvGraphicFramePr/>
                      <a:graphic xmlns:a="http://schemas.openxmlformats.org/drawingml/2006/main">
                        <a:graphicData uri="http://schemas.microsoft.com/office/word/2010/wordprocessingShape">
                          <wps:wsp>
                            <wps:cNvSpPr/>
                            <wps:spPr>
                              <a:xfrm>
                                <a:off x="0" y="0"/>
                                <a:ext cx="882015" cy="294640"/>
                              </a:xfrm>
                              <a:prstGeom prst="wedgeRectCallout">
                                <a:avLst>
                                  <a:gd name="adj1" fmla="val 31785"/>
                                  <a:gd name="adj2" fmla="val 211637"/>
                                </a:avLst>
                              </a:prstGeom>
                              <a:solidFill>
                                <a:srgbClr val="FFFFFF"/>
                              </a:solidFill>
                              <a:ln w="9525" cap="flat" cmpd="sng">
                                <a:solidFill>
                                  <a:srgbClr val="000000"/>
                                </a:solidFill>
                                <a:prstDash val="solid"/>
                                <a:miter/>
                                <a:headEnd type="none" w="med" len="med"/>
                                <a:tailEnd type="none" w="med" len="med"/>
                              </a:ln>
                            </wps:spPr>
                            <wps:txbx>
                              <w:txbxContent>
                                <w:p w14:paraId="2C0F78FC">
                                  <w:pPr>
                                    <w:rPr>
                                      <w:rFonts w:hint="eastAsia" w:ascii="Times New Roman" w:hAnsi="Times New Roman" w:eastAsia="宋体"/>
                                      <w:b/>
                                      <w:bCs/>
                                      <w:szCs w:val="24"/>
                                    </w:rPr>
                                  </w:pPr>
                                  <w:r>
                                    <w:rPr>
                                      <w:rFonts w:hint="eastAsia" w:ascii="Times New Roman" w:hAnsi="Times New Roman" w:eastAsia="宋体"/>
                                      <w:b/>
                                      <w:bCs/>
                                      <w:szCs w:val="24"/>
                                    </w:rPr>
                                    <w:t>本项目位置</w:t>
                                  </w:r>
                                </w:p>
                              </w:txbxContent>
                            </wps:txbx>
                            <wps:bodyPr wrap="square" upright="1"/>
                          </wps:wsp>
                        </a:graphicData>
                      </a:graphic>
                    </wp:anchor>
                  </w:drawing>
                </mc:Choice>
                <mc:Fallback>
                  <w:pict>
                    <v:shape id="自选图形 1030" o:spid="_x0000_s1026" o:spt="61" type="#_x0000_t61" style="position:absolute;left:0pt;margin-left:88.7pt;margin-top:7.05pt;height:23.2pt;width:69.45pt;z-index:251663360;mso-width-relative:page;mso-height-relative:page;" fillcolor="#FFFFFF" filled="t" stroked="t" coordsize="21600,21600" o:gfxdata="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1yfqndgAAAAJAQAADwAAAAAAAAABACAAAAAi&#10;AAAAZHJzL2Rvd25yZXYueG1sUEsBAhQAFAAAAAgAh07iQAzr05xDAgAAngQAAA4AAAAAAAAAAQAg&#10;AAAAJwEAAGRycy9lMm9Eb2MueG1sUEsFBgAAAAAGAAYAWQEAANwFAAAAAA==&#10;" adj="17666,56514">
                      <v:fill on="t" focussize="0,0"/>
                      <v:stroke color="#000000" joinstyle="miter"/>
                      <v:imagedata o:title=""/>
                      <o:lock v:ext="edit" aspectratio="f"/>
                      <v:textbox>
                        <w:txbxContent>
                          <w:p w14:paraId="2C0F78FC">
                            <w:pPr>
                              <w:rPr>
                                <w:rFonts w:hint="eastAsia" w:ascii="Times New Roman" w:hAnsi="Times New Roman" w:eastAsia="宋体"/>
                                <w:b/>
                                <w:bCs/>
                                <w:szCs w:val="24"/>
                              </w:rPr>
                            </w:pPr>
                            <w:r>
                              <w:rPr>
                                <w:rFonts w:hint="eastAsia" w:ascii="Times New Roman" w:hAnsi="Times New Roman" w:eastAsia="宋体"/>
                                <w:b/>
                                <w:bCs/>
                                <w:szCs w:val="24"/>
                              </w:rPr>
                              <w:t>本项目位置</w:t>
                            </w:r>
                          </w:p>
                        </w:txbxContent>
                      </v:textbox>
                    </v:shape>
                  </w:pict>
                </mc:Fallback>
              </mc:AlternateContent>
            </w:r>
            <w:r>
              <w:rPr>
                <w:color w:val="000000" w:themeColor="text1"/>
                <w:highlight w:val="none"/>
                <w14:textFill>
                  <w14:solidFill>
                    <w14:schemeClr w14:val="tx1"/>
                  </w14:solidFill>
                </w14:textFill>
              </w:rPr>
              <w:drawing>
                <wp:inline distT="0" distB="0" distL="114300" distR="114300">
                  <wp:extent cx="5052060" cy="2880360"/>
                  <wp:effectExtent l="0" t="0" r="15240" b="1524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9"/>
                          <a:stretch>
                            <a:fillRect/>
                          </a:stretch>
                        </pic:blipFill>
                        <pic:spPr>
                          <a:xfrm>
                            <a:off x="0" y="0"/>
                            <a:ext cx="5052060" cy="2880360"/>
                          </a:xfrm>
                          <a:prstGeom prst="rect">
                            <a:avLst/>
                          </a:prstGeom>
                          <a:noFill/>
                          <a:ln>
                            <a:noFill/>
                          </a:ln>
                        </pic:spPr>
                      </pic:pic>
                    </a:graphicData>
                  </a:graphic>
                </wp:inline>
              </w:drawing>
            </w:r>
          </w:p>
          <w:p w14:paraId="19DFF09E">
            <w:pPr>
              <w:widowControl w:val="0"/>
              <w:spacing w:line="360" w:lineRule="auto"/>
              <w:jc w:val="center"/>
              <w:rPr>
                <w:rFonts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图1-</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3</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 xml:space="preserve">    项目与管控单元相对位置图</w:t>
            </w:r>
          </w:p>
          <w:p w14:paraId="3E825EEB">
            <w:pPr>
              <w:widowControl w:val="0"/>
              <w:spacing w:line="360" w:lineRule="auto"/>
              <w:ind w:firstLine="482" w:firstLineChars="200"/>
              <w:jc w:val="both"/>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2、生态环境准入清单符合性分析</w:t>
            </w:r>
          </w:p>
          <w:p w14:paraId="2422E06D">
            <w:pPr>
              <w:widowControl w:val="0"/>
              <w:jc w:val="cente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表1-</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3</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 xml:space="preserve">    本项目</w:t>
            </w:r>
            <w:r>
              <w:rPr>
                <w:rFonts w:hint="eastAsia"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生态环境准入</w:t>
            </w:r>
            <w:r>
              <w:rPr>
                <w:rFonts w:ascii="Times New Roman" w:hAnsi="Times New Roman" w:eastAsia="宋体" w:cs="Times New Roman"/>
                <w:b/>
                <w:bCs/>
                <w:color w:val="000000" w:themeColor="text1"/>
                <w:kern w:val="2"/>
                <w:sz w:val="21"/>
                <w:szCs w:val="21"/>
                <w:highlight w:val="none"/>
                <w:lang w:val="en-US" w:eastAsia="zh-CN" w:bidi="ar-SA"/>
                <w14:textFill>
                  <w14:solidFill>
                    <w14:schemeClr w14:val="tx1"/>
                  </w14:solidFill>
                </w14:textFill>
              </w:rPr>
              <w:t>清单管控要求符合性分析</w:t>
            </w:r>
          </w:p>
          <w:tbl>
            <w:tblPr>
              <w:tblStyle w:val="20"/>
              <w:tblW w:w="493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85"/>
              <w:gridCol w:w="358"/>
              <w:gridCol w:w="874"/>
              <w:gridCol w:w="4303"/>
              <w:gridCol w:w="1305"/>
              <w:gridCol w:w="426"/>
              <w:gridCol w:w="3"/>
            </w:tblGrid>
            <w:tr w14:paraId="3AA3DD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tblHeader/>
                <w:jc w:val="center"/>
              </w:trPr>
              <w:tc>
                <w:tcPr>
                  <w:tcW w:w="3896" w:type="pct"/>
                  <w:gridSpan w:val="4"/>
                  <w:shd w:val="clear" w:color="auto" w:fill="auto"/>
                  <w:vAlign w:val="center"/>
                </w:tcPr>
                <w:p w14:paraId="20C4E6B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“三线一单”的具体要求</w:t>
                  </w:r>
                </w:p>
              </w:tc>
              <w:tc>
                <w:tcPr>
                  <w:tcW w:w="830" w:type="pct"/>
                  <w:vMerge w:val="restart"/>
                  <w:shd w:val="clear" w:color="auto" w:fill="auto"/>
                  <w:vAlign w:val="center"/>
                </w:tcPr>
                <w:p w14:paraId="47498FF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t>项目对应情况介绍</w:t>
                  </w:r>
                </w:p>
              </w:tc>
              <w:tc>
                <w:tcPr>
                  <w:tcW w:w="271" w:type="pct"/>
                  <w:vMerge w:val="restart"/>
                  <w:shd w:val="clear" w:color="auto" w:fill="auto"/>
                  <w:vAlign w:val="center"/>
                </w:tcPr>
                <w:p w14:paraId="5B11A49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14:textFill>
                        <w14:solidFill>
                          <w14:schemeClr w14:val="tx1"/>
                        </w14:solidFill>
                      </w14:textFill>
                    </w:rPr>
                    <w:t>符合性</w:t>
                  </w:r>
                </w:p>
              </w:tc>
            </w:tr>
            <w:tr w14:paraId="768B36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tblHeader/>
                <w:jc w:val="center"/>
              </w:trPr>
              <w:tc>
                <w:tcPr>
                  <w:tcW w:w="1156" w:type="pct"/>
                  <w:gridSpan w:val="3"/>
                  <w:shd w:val="clear" w:color="auto" w:fill="auto"/>
                  <w:vAlign w:val="center"/>
                </w:tcPr>
                <w:p w14:paraId="5ECF8DB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t>类别</w:t>
                  </w:r>
                </w:p>
              </w:tc>
              <w:tc>
                <w:tcPr>
                  <w:tcW w:w="2739" w:type="pct"/>
                  <w:shd w:val="clear" w:color="auto" w:fill="auto"/>
                  <w:vAlign w:val="center"/>
                </w:tcPr>
                <w:p w14:paraId="718014F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t>对应管控要求</w:t>
                  </w:r>
                </w:p>
              </w:tc>
              <w:tc>
                <w:tcPr>
                  <w:tcW w:w="830" w:type="pct"/>
                  <w:vMerge w:val="continue"/>
                  <w:shd w:val="clear" w:color="auto" w:fill="auto"/>
                  <w:vAlign w:val="center"/>
                </w:tcPr>
                <w:p w14:paraId="572590F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71" w:type="pct"/>
                  <w:vMerge w:val="continue"/>
                  <w:shd w:val="clear" w:color="auto" w:fill="auto"/>
                  <w:vAlign w:val="center"/>
                </w:tcPr>
                <w:p w14:paraId="6B75853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14:textFill>
                        <w14:solidFill>
                          <w14:schemeClr w14:val="tx1"/>
                        </w14:solidFill>
                      </w14:textFill>
                    </w:rPr>
                  </w:pPr>
                </w:p>
              </w:tc>
            </w:tr>
            <w:tr w14:paraId="0C90FA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restart"/>
                  <w:shd w:val="clear" w:color="auto" w:fill="auto"/>
                  <w:vAlign w:val="center"/>
                </w:tcPr>
                <w:p w14:paraId="4D8E412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Style w:val="22"/>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蓬溪县火车站工业聚居区ZH51092120003</w:t>
                  </w:r>
                </w:p>
              </w:tc>
              <w:tc>
                <w:tcPr>
                  <w:tcW w:w="227" w:type="pct"/>
                  <w:vMerge w:val="restart"/>
                  <w:shd w:val="clear" w:color="auto" w:fill="auto"/>
                  <w:vAlign w:val="center"/>
                </w:tcPr>
                <w:p w14:paraId="0B6F00D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普适性清单管控要求</w:t>
                  </w:r>
                </w:p>
              </w:tc>
              <w:tc>
                <w:tcPr>
                  <w:tcW w:w="556" w:type="pct"/>
                  <w:shd w:val="clear" w:color="auto" w:fill="auto"/>
                  <w:vAlign w:val="center"/>
                </w:tcPr>
                <w:p w14:paraId="7BFE8E8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62CFA44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禁止开发建设活动的要求</w:t>
                  </w:r>
                </w:p>
                <w:p w14:paraId="2207BCA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1.禁止引入不符合园区用地性质或产业规划的工业企业。</w:t>
                  </w:r>
                </w:p>
                <w:p w14:paraId="43A7732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2.禁止在长江干支流岸线一公里范围内新建、扩建化工园区和化工项目。</w:t>
                  </w:r>
                </w:p>
                <w:p w14:paraId="6A4B8AE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3.禁止在长江流域河湖管理范围内倾倒、填埋、堆放、弃置、处理固体废物。</w:t>
                  </w:r>
                </w:p>
                <w:p w14:paraId="481687D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限制开发建设活动的要求</w:t>
                  </w:r>
                </w:p>
                <w:p w14:paraId="7CC3A6B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1.严控新建、扩建“两高”项目，对现存企业执行最严格排放标准和总量控制要求。</w:t>
                  </w:r>
                </w:p>
                <w:p w14:paraId="0B4F6FB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2.长江干流及主要支流1公里范围内，严控新建石油化工、煤化工、涉磷、造纸、印染、制革等项目。</w:t>
                  </w:r>
                </w:p>
                <w:p w14:paraId="781A99D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不符合空间布局要求活动的退出要求</w:t>
                  </w:r>
                </w:p>
                <w:p w14:paraId="0C266BA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现有属于禁止引入产业门类的企业，应按相关规定限期整治或退出。</w:t>
                  </w:r>
                </w:p>
                <w:p w14:paraId="61C5737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其他空间布局约束要求</w:t>
                  </w:r>
                </w:p>
                <w:p w14:paraId="7A72EBB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暂无</w:t>
                  </w:r>
                </w:p>
              </w:tc>
              <w:tc>
                <w:tcPr>
                  <w:tcW w:w="830" w:type="pct"/>
                  <w:shd w:val="clear" w:color="auto" w:fill="auto"/>
                  <w:vAlign w:val="center"/>
                </w:tcPr>
                <w:p w14:paraId="0F23F6C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本项目为</w:t>
                  </w:r>
                  <w:r>
                    <w:rPr>
                      <w:rFonts w:hint="default" w:ascii="Times New Roman" w:hAnsi="Times New Roman" w:eastAsia="宋体" w:cs="Times New Roman"/>
                      <w:color w:val="000000" w:themeColor="text1"/>
                      <w:sz w:val="21"/>
                      <w:szCs w:val="21"/>
                      <w:highlight w:val="none"/>
                      <w14:textFill>
                        <w14:solidFill>
                          <w14:schemeClr w14:val="tx1"/>
                        </w14:solidFill>
                      </w14:textFill>
                    </w:rPr>
                    <w:t>水泥制品制造</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项目，与蓬溪县火车站工业聚居区“建材”产业定位相符，建设用地性质为工业用地。不属于</w:t>
                  </w:r>
                  <w:r>
                    <w:rPr>
                      <w:rFonts w:hint="eastAsia" w:ascii="Times New Roman" w:hAnsi="Times New Roman" w:eastAsia="宋体"/>
                      <w:color w:val="000000" w:themeColor="text1"/>
                      <w:sz w:val="21"/>
                      <w:szCs w:val="21"/>
                      <w:highlight w:val="none"/>
                      <w14:textFill>
                        <w14:solidFill>
                          <w14:schemeClr w14:val="tx1"/>
                        </w14:solidFill>
                      </w14:textFill>
                    </w:rPr>
                    <w:t>“两高”</w:t>
                  </w:r>
                  <w:r>
                    <w:rPr>
                      <w:rFonts w:hint="eastAsia" w:ascii="Times New Roman" w:hAnsi="Times New Roman" w:eastAsia="宋体"/>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化工类项目。</w:t>
                  </w:r>
                </w:p>
              </w:tc>
              <w:tc>
                <w:tcPr>
                  <w:tcW w:w="271" w:type="pct"/>
                  <w:shd w:val="clear" w:color="auto" w:fill="auto"/>
                  <w:vAlign w:val="center"/>
                </w:tcPr>
                <w:p w14:paraId="4C5FB21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3DC28F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2" w:type="pct"/>
                  <w:vMerge w:val="continue"/>
                  <w:shd w:val="clear" w:color="auto" w:fill="auto"/>
                  <w:vAlign w:val="center"/>
                </w:tcPr>
                <w:p w14:paraId="7F1584F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37C26A8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F598B2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1888C4E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允许排放量要求</w:t>
                  </w:r>
                </w:p>
                <w:p w14:paraId="0F33DA8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暂无</w:t>
                  </w:r>
                </w:p>
                <w:p w14:paraId="212B743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现有源提标升级改造</w:t>
                  </w:r>
                </w:p>
                <w:p w14:paraId="3875408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1.污水收集处理率达100%。</w:t>
                  </w:r>
                </w:p>
                <w:p w14:paraId="6A1DDB1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2.园区污水处理厂达《城镇污水处理厂污染物排放标准》一级A标或更高标准。</w:t>
                  </w:r>
                </w:p>
                <w:p w14:paraId="7106460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3.加快推进危险化学品生产企业搬迁改造工程。</w:t>
                  </w:r>
                </w:p>
                <w:p w14:paraId="589CED0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其他污染物排放管控要求</w:t>
                  </w:r>
                </w:p>
                <w:p w14:paraId="55C2E79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1.新增源等量或倍量替代：（1）上一年度水环境质量未完成目标的，新建排放水污染的建设项目按照总量管控要求进行倍量削减替代。上一年度空气质量年平均浓度不达标的城市，建设项目新增相关污染物按照总量管控要求进行倍量削减替代。（2）把能源消耗与污染物排放总量指标作为环评审批的前置条件，对新建排放SO</w:t>
                  </w:r>
                  <w:r>
                    <w:rPr>
                      <w:rFonts w:hint="eastAsia" w:ascii="Times New Roman" w:hAnsi="Times New Roman" w:eastAsia="宋体"/>
                      <w:b w:val="0"/>
                      <w:bCs w:val="0"/>
                      <w:color w:val="000000" w:themeColor="text1"/>
                      <w:szCs w:val="21"/>
                      <w:highlight w:val="none"/>
                      <w:vertAlign w:val="subscript"/>
                      <w14:textFill>
                        <w14:solidFill>
                          <w14:schemeClr w14:val="tx1"/>
                        </w14:solidFill>
                      </w14:textFill>
                    </w:rPr>
                    <w:t>2</w:t>
                  </w:r>
                  <w:r>
                    <w:rPr>
                      <w:rFonts w:hint="eastAsia" w:ascii="Times New Roman" w:hAnsi="Times New Roman" w:eastAsia="宋体"/>
                      <w:b w:val="0"/>
                      <w:bCs w:val="0"/>
                      <w:color w:val="000000" w:themeColor="text1"/>
                      <w:szCs w:val="21"/>
                      <w:highlight w:val="none"/>
                      <w14:textFill>
                        <w14:solidFill>
                          <w14:schemeClr w14:val="tx1"/>
                        </w14:solidFill>
                      </w14:textFill>
                    </w:rPr>
                    <w:t>、NOx、VOCs和工业烟粉尘的项目实施现役源2倍削减量替代，其中射洪市执行1.5倍削减量替代。</w:t>
                  </w:r>
                </w:p>
                <w:p w14:paraId="612DBED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2.新增源排放标准限值：对于国家排放标准中已规定大气污染物特别排放限值或特别控制要求的行业以及锅炉，新建企业（项目）执行《四川省生态环境厅关于执行大气污染物特别排放限值的公告》[2020年第2号]中相应标准颗粒物、二氧化硫、氮氧化物和挥发性有机物特别排放限值和特别控制要求。</w:t>
                  </w:r>
                </w:p>
                <w:p w14:paraId="7352A19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3.污染物排放绩效水平准入要求：（1）到2025年，煤矸石、粉煤灰、尾矿（共伴生矿）、冶炼渣、工业副产石膏、建筑垃圾、农作物秸秆等大宗固废的综合利用能力显著提升，利用规模不断扩大，新增大宗固废综合利用率达到60%，存量大宗固废有序减少。（2）严格执行钢铁、水泥、平板玻璃等行业产能置换实施办法，新建钢铁企业执行超低排放标准。（3）新、改扩建项目污染排放指标满足《四川省省级生态工业园区指标》综合类生态工业园区要求。</w:t>
                  </w:r>
                </w:p>
              </w:tc>
              <w:tc>
                <w:tcPr>
                  <w:tcW w:w="830" w:type="pct"/>
                  <w:shd w:val="clear" w:color="auto" w:fill="auto"/>
                  <w:vAlign w:val="center"/>
                </w:tcPr>
                <w:p w14:paraId="39B6243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pacing w:val="-3"/>
                      <w:sz w:val="21"/>
                      <w:szCs w:val="24"/>
                      <w:highlight w:val="none"/>
                      <w14:textFill>
                        <w14:solidFill>
                          <w14:schemeClr w14:val="tx1"/>
                        </w14:solidFill>
                      </w14:textFill>
                    </w:rPr>
                    <w:t>实</w:t>
                  </w:r>
                  <w:r>
                    <w:rPr>
                      <w:rFonts w:hint="eastAsia" w:ascii="宋体" w:hAnsi="宋体" w:eastAsia="宋体"/>
                      <w:color w:val="000000" w:themeColor="text1"/>
                      <w:sz w:val="21"/>
                      <w:szCs w:val="24"/>
                      <w:highlight w:val="none"/>
                      <w14:textFill>
                        <w14:solidFill>
                          <w14:schemeClr w14:val="tx1"/>
                        </w14:solidFill>
                      </w14:textFill>
                    </w:rPr>
                    <w:t>行</w:t>
                  </w:r>
                  <w:r>
                    <w:rPr>
                      <w:rFonts w:hint="eastAsia" w:ascii="宋体" w:hAnsi="宋体" w:eastAsia="宋体"/>
                      <w:color w:val="000000" w:themeColor="text1"/>
                      <w:spacing w:val="-3"/>
                      <w:sz w:val="21"/>
                      <w:szCs w:val="24"/>
                      <w:highlight w:val="none"/>
                      <w14:textFill>
                        <w14:solidFill>
                          <w14:schemeClr w14:val="tx1"/>
                        </w14:solidFill>
                      </w14:textFill>
                    </w:rPr>
                    <w:t>雨</w:t>
                  </w:r>
                  <w:r>
                    <w:rPr>
                      <w:rFonts w:hint="eastAsia" w:ascii="宋体" w:hAnsi="宋体" w:eastAsia="宋体"/>
                      <w:color w:val="000000" w:themeColor="text1"/>
                      <w:sz w:val="21"/>
                      <w:szCs w:val="24"/>
                      <w:highlight w:val="none"/>
                      <w14:textFill>
                        <w14:solidFill>
                          <w14:schemeClr w14:val="tx1"/>
                        </w14:solidFill>
                      </w14:textFill>
                    </w:rPr>
                    <w:t>污</w:t>
                  </w:r>
                  <w:r>
                    <w:rPr>
                      <w:rFonts w:hint="eastAsia" w:ascii="宋体" w:hAnsi="宋体" w:eastAsia="宋体"/>
                      <w:color w:val="000000" w:themeColor="text1"/>
                      <w:spacing w:val="-3"/>
                      <w:sz w:val="21"/>
                      <w:szCs w:val="24"/>
                      <w:highlight w:val="none"/>
                      <w14:textFill>
                        <w14:solidFill>
                          <w14:schemeClr w14:val="tx1"/>
                        </w14:solidFill>
                      </w14:textFill>
                    </w:rPr>
                    <w:t>分</w:t>
                  </w:r>
                  <w:r>
                    <w:rPr>
                      <w:rFonts w:hint="eastAsia" w:ascii="宋体" w:hAnsi="宋体" w:eastAsia="宋体"/>
                      <w:color w:val="000000" w:themeColor="text1"/>
                      <w:sz w:val="21"/>
                      <w:szCs w:val="24"/>
                      <w:highlight w:val="none"/>
                      <w14:textFill>
                        <w14:solidFill>
                          <w14:schemeClr w14:val="tx1"/>
                        </w14:solidFill>
                      </w14:textFill>
                    </w:rPr>
                    <w:t>流</w:t>
                  </w:r>
                  <w:r>
                    <w:rPr>
                      <w:rFonts w:hint="eastAsia" w:ascii="宋体" w:hAnsi="宋体" w:eastAsia="宋体"/>
                      <w:color w:val="000000" w:themeColor="text1"/>
                      <w:spacing w:val="-3"/>
                      <w:sz w:val="21"/>
                      <w:szCs w:val="24"/>
                      <w:highlight w:val="none"/>
                      <w14:textFill>
                        <w14:solidFill>
                          <w14:schemeClr w14:val="tx1"/>
                        </w14:solidFill>
                      </w14:textFill>
                    </w:rPr>
                    <w:t>制</w:t>
                  </w:r>
                  <w:r>
                    <w:rPr>
                      <w:rFonts w:hint="eastAsia" w:ascii="宋体" w:hAnsi="宋体" w:eastAsia="宋体"/>
                      <w:color w:val="000000" w:themeColor="text1"/>
                      <w:sz w:val="21"/>
                      <w:szCs w:val="24"/>
                      <w:highlight w:val="none"/>
                      <w14:textFill>
                        <w14:solidFill>
                          <w14:schemeClr w14:val="tx1"/>
                        </w14:solidFill>
                      </w14:textFill>
                    </w:rPr>
                    <w:t>，本</w:t>
                  </w:r>
                  <w:r>
                    <w:rPr>
                      <w:rFonts w:hint="eastAsia" w:ascii="宋体" w:hAnsi="宋体" w:eastAsia="宋体"/>
                      <w:color w:val="000000" w:themeColor="text1"/>
                      <w:spacing w:val="-3"/>
                      <w:sz w:val="21"/>
                      <w:szCs w:val="24"/>
                      <w:highlight w:val="none"/>
                      <w14:textFill>
                        <w14:solidFill>
                          <w14:schemeClr w14:val="tx1"/>
                        </w14:solidFill>
                      </w14:textFill>
                    </w:rPr>
                    <w:t>项</w:t>
                  </w:r>
                  <w:r>
                    <w:rPr>
                      <w:rFonts w:hint="eastAsia" w:ascii="宋体" w:hAnsi="宋体" w:eastAsia="宋体"/>
                      <w:color w:val="000000" w:themeColor="text1"/>
                      <w:sz w:val="21"/>
                      <w:szCs w:val="24"/>
                      <w:highlight w:val="none"/>
                      <w14:textFill>
                        <w14:solidFill>
                          <w14:schemeClr w14:val="tx1"/>
                        </w14:solidFill>
                      </w14:textFill>
                    </w:rPr>
                    <w:t>目</w:t>
                  </w:r>
                  <w:r>
                    <w:rPr>
                      <w:rFonts w:hint="eastAsia" w:ascii="宋体" w:hAnsi="宋体" w:eastAsia="宋体"/>
                      <w:color w:val="000000" w:themeColor="text1"/>
                      <w:spacing w:val="-3"/>
                      <w:sz w:val="21"/>
                      <w:szCs w:val="24"/>
                      <w:highlight w:val="none"/>
                      <w14:textFill>
                        <w14:solidFill>
                          <w14:schemeClr w14:val="tx1"/>
                        </w14:solidFill>
                      </w14:textFill>
                    </w:rPr>
                    <w:t>营</w:t>
                  </w:r>
                  <w:r>
                    <w:rPr>
                      <w:rFonts w:hint="eastAsia" w:ascii="宋体" w:hAnsi="宋体" w:eastAsia="宋体"/>
                      <w:color w:val="000000" w:themeColor="text1"/>
                      <w:sz w:val="21"/>
                      <w:szCs w:val="24"/>
                      <w:highlight w:val="none"/>
                      <w14:textFill>
                        <w14:solidFill>
                          <w14:schemeClr w14:val="tx1"/>
                        </w14:solidFill>
                      </w14:textFill>
                    </w:rPr>
                    <w:t>运期生</w:t>
                  </w:r>
                  <w:r>
                    <w:rPr>
                      <w:rFonts w:hint="eastAsia" w:ascii="宋体" w:hAnsi="宋体" w:eastAsia="宋体"/>
                      <w:color w:val="000000" w:themeColor="text1"/>
                      <w:spacing w:val="-3"/>
                      <w:sz w:val="21"/>
                      <w:szCs w:val="24"/>
                      <w:highlight w:val="none"/>
                      <w14:textFill>
                        <w14:solidFill>
                          <w14:schemeClr w14:val="tx1"/>
                        </w14:solidFill>
                      </w14:textFill>
                    </w:rPr>
                    <w:t>活</w:t>
                  </w:r>
                  <w:r>
                    <w:rPr>
                      <w:rFonts w:hint="eastAsia" w:ascii="宋体" w:hAnsi="宋体" w:eastAsia="宋体"/>
                      <w:color w:val="000000" w:themeColor="text1"/>
                      <w:sz w:val="21"/>
                      <w:szCs w:val="24"/>
                      <w:highlight w:val="none"/>
                      <w14:textFill>
                        <w14:solidFill>
                          <w14:schemeClr w14:val="tx1"/>
                        </w14:solidFill>
                      </w14:textFill>
                    </w:rPr>
                    <w:t>废</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lang w:eastAsia="zh-CN"/>
                      <w14:textFill>
                        <w14:solidFill>
                          <w14:schemeClr w14:val="tx1"/>
                        </w14:solidFill>
                      </w14:textFill>
                    </w:rPr>
                    <w:t>经</w:t>
                  </w:r>
                  <w:r>
                    <w:rPr>
                      <w:rFonts w:hint="eastAsia" w:ascii="宋体" w:hAnsi="宋体" w:eastAsia="宋体"/>
                      <w:color w:val="000000" w:themeColor="text1"/>
                      <w:spacing w:val="-3"/>
                      <w:sz w:val="21"/>
                      <w:szCs w:val="24"/>
                      <w:highlight w:val="none"/>
                      <w14:textFill>
                        <w14:solidFill>
                          <w14:schemeClr w14:val="tx1"/>
                        </w14:solidFill>
                      </w14:textFill>
                    </w:rPr>
                    <w:t>化</w:t>
                  </w:r>
                  <w:r>
                    <w:rPr>
                      <w:rFonts w:hint="eastAsia" w:ascii="宋体" w:hAnsi="宋体" w:eastAsia="宋体"/>
                      <w:color w:val="000000" w:themeColor="text1"/>
                      <w:sz w:val="21"/>
                      <w:szCs w:val="24"/>
                      <w:highlight w:val="none"/>
                      <w14:textFill>
                        <w14:solidFill>
                          <w14:schemeClr w14:val="tx1"/>
                        </w14:solidFill>
                      </w14:textFill>
                    </w:rPr>
                    <w:t>粪</w:t>
                  </w:r>
                  <w:r>
                    <w:rPr>
                      <w:rFonts w:hint="eastAsia" w:ascii="宋体" w:hAnsi="宋体" w:eastAsia="宋体"/>
                      <w:color w:val="000000" w:themeColor="text1"/>
                      <w:spacing w:val="-3"/>
                      <w:sz w:val="21"/>
                      <w:szCs w:val="24"/>
                      <w:highlight w:val="none"/>
                      <w14:textFill>
                        <w14:solidFill>
                          <w14:schemeClr w14:val="tx1"/>
                        </w14:solidFill>
                      </w14:textFill>
                    </w:rPr>
                    <w:t>池</w:t>
                  </w:r>
                  <w:r>
                    <w:rPr>
                      <w:rFonts w:hint="eastAsia" w:ascii="宋体" w:hAnsi="宋体" w:eastAsia="宋体"/>
                      <w:color w:val="000000" w:themeColor="text1"/>
                      <w:sz w:val="21"/>
                      <w:szCs w:val="24"/>
                      <w:highlight w:val="none"/>
                      <w14:textFill>
                        <w14:solidFill>
                          <w14:schemeClr w14:val="tx1"/>
                        </w14:solidFill>
                      </w14:textFill>
                    </w:rPr>
                    <w:t>进</w:t>
                  </w:r>
                  <w:r>
                    <w:rPr>
                      <w:rFonts w:hint="eastAsia" w:ascii="宋体" w:hAnsi="宋体" w:eastAsia="宋体"/>
                      <w:color w:val="000000" w:themeColor="text1"/>
                      <w:spacing w:val="-3"/>
                      <w:sz w:val="21"/>
                      <w:szCs w:val="24"/>
                      <w:highlight w:val="none"/>
                      <w14:textFill>
                        <w14:solidFill>
                          <w14:schemeClr w14:val="tx1"/>
                        </w14:solidFill>
                      </w14:textFill>
                    </w:rPr>
                    <w:t>行</w:t>
                  </w:r>
                  <w:r>
                    <w:rPr>
                      <w:rFonts w:hint="eastAsia" w:ascii="宋体" w:hAnsi="宋体" w:eastAsia="宋体"/>
                      <w:color w:val="000000" w:themeColor="text1"/>
                      <w:sz w:val="21"/>
                      <w:szCs w:val="24"/>
                      <w:highlight w:val="none"/>
                      <w14:textFill>
                        <w14:solidFill>
                          <w14:schemeClr w14:val="tx1"/>
                        </w14:solidFill>
                      </w14:textFill>
                    </w:rPr>
                    <w:t>预处理，</w:t>
                  </w:r>
                  <w:r>
                    <w:rPr>
                      <w:rFonts w:hint="eastAsia" w:ascii="宋体" w:hAnsi="宋体" w:eastAsia="宋体"/>
                      <w:color w:val="000000" w:themeColor="text1"/>
                      <w:spacing w:val="-3"/>
                      <w:sz w:val="21"/>
                      <w:szCs w:val="24"/>
                      <w:highlight w:val="none"/>
                      <w14:textFill>
                        <w14:solidFill>
                          <w14:schemeClr w14:val="tx1"/>
                        </w14:solidFill>
                      </w14:textFill>
                    </w:rPr>
                    <w:t>后最</w:t>
                  </w:r>
                  <w:r>
                    <w:rPr>
                      <w:rFonts w:hint="eastAsia" w:ascii="宋体" w:hAnsi="宋体" w:eastAsia="宋体"/>
                      <w:color w:val="000000" w:themeColor="text1"/>
                      <w:sz w:val="21"/>
                      <w:szCs w:val="24"/>
                      <w:highlight w:val="none"/>
                      <w14:textFill>
                        <w14:solidFill>
                          <w14:schemeClr w14:val="tx1"/>
                        </w14:solidFill>
                      </w14:textFill>
                    </w:rPr>
                    <w:t>终</w:t>
                  </w:r>
                  <w:r>
                    <w:rPr>
                      <w:rFonts w:hint="eastAsia" w:ascii="宋体" w:hAnsi="宋体" w:eastAsia="宋体"/>
                      <w:color w:val="000000" w:themeColor="text1"/>
                      <w:spacing w:val="-3"/>
                      <w:sz w:val="21"/>
                      <w:szCs w:val="24"/>
                      <w:highlight w:val="none"/>
                      <w14:textFill>
                        <w14:solidFill>
                          <w14:schemeClr w14:val="tx1"/>
                        </w14:solidFill>
                      </w14:textFill>
                    </w:rPr>
                    <w:t>排</w:t>
                  </w:r>
                  <w:r>
                    <w:rPr>
                      <w:rFonts w:hint="eastAsia" w:ascii="宋体" w:hAnsi="宋体" w:eastAsia="宋体"/>
                      <w:color w:val="000000" w:themeColor="text1"/>
                      <w:sz w:val="21"/>
                      <w:szCs w:val="24"/>
                      <w:highlight w:val="none"/>
                      <w14:textFill>
                        <w14:solidFill>
                          <w14:schemeClr w14:val="tx1"/>
                        </w14:solidFill>
                      </w14:textFill>
                    </w:rPr>
                    <w:t>入</w:t>
                  </w:r>
                  <w:r>
                    <w:rPr>
                      <w:rFonts w:hint="eastAsia" w:ascii="宋体" w:hAnsi="宋体" w:eastAsia="宋体"/>
                      <w:color w:val="000000" w:themeColor="text1"/>
                      <w:spacing w:val="-3"/>
                      <w:sz w:val="21"/>
                      <w:szCs w:val="24"/>
                      <w:highlight w:val="none"/>
                      <w14:textFill>
                        <w14:solidFill>
                          <w14:schemeClr w14:val="tx1"/>
                        </w14:solidFill>
                      </w14:textFill>
                    </w:rPr>
                    <w:t>宝</w:t>
                  </w:r>
                  <w:r>
                    <w:rPr>
                      <w:rFonts w:hint="eastAsia" w:ascii="宋体" w:hAnsi="宋体" w:eastAsia="宋体"/>
                      <w:color w:val="000000" w:themeColor="text1"/>
                      <w:sz w:val="21"/>
                      <w:szCs w:val="24"/>
                      <w:highlight w:val="none"/>
                      <w14:textFill>
                        <w14:solidFill>
                          <w14:schemeClr w14:val="tx1"/>
                        </w14:solidFill>
                      </w14:textFill>
                    </w:rPr>
                    <w:t>梵</w:t>
                  </w:r>
                  <w:r>
                    <w:rPr>
                      <w:rFonts w:hint="eastAsia" w:ascii="宋体" w:hAnsi="宋体" w:eastAsia="宋体"/>
                      <w:color w:val="000000" w:themeColor="text1"/>
                      <w:spacing w:val="-3"/>
                      <w:sz w:val="21"/>
                      <w:szCs w:val="24"/>
                      <w:highlight w:val="none"/>
                      <w14:textFill>
                        <w14:solidFill>
                          <w14:schemeClr w14:val="tx1"/>
                        </w14:solidFill>
                      </w14:textFill>
                    </w:rPr>
                    <w:t>镇</w:t>
                  </w:r>
                  <w:r>
                    <w:rPr>
                      <w:rFonts w:hint="eastAsia" w:ascii="宋体" w:hAnsi="宋体" w:eastAsia="宋体"/>
                      <w:color w:val="000000" w:themeColor="text1"/>
                      <w:sz w:val="21"/>
                      <w:szCs w:val="24"/>
                      <w:highlight w:val="none"/>
                      <w14:textFill>
                        <w14:solidFill>
                          <w14:schemeClr w14:val="tx1"/>
                        </w14:solidFill>
                      </w14:textFill>
                    </w:rPr>
                    <w:t>污水处</w:t>
                  </w:r>
                  <w:r>
                    <w:rPr>
                      <w:rFonts w:hint="eastAsia" w:ascii="宋体" w:hAnsi="宋体" w:eastAsia="宋体"/>
                      <w:color w:val="000000" w:themeColor="text1"/>
                      <w:spacing w:val="-3"/>
                      <w:sz w:val="21"/>
                      <w:szCs w:val="24"/>
                      <w:highlight w:val="none"/>
                      <w14:textFill>
                        <w14:solidFill>
                          <w14:schemeClr w14:val="tx1"/>
                        </w14:solidFill>
                      </w14:textFill>
                    </w:rPr>
                    <w:t>理</w:t>
                  </w:r>
                  <w:r>
                    <w:rPr>
                      <w:rFonts w:hint="eastAsia" w:ascii="宋体" w:hAnsi="宋体" w:eastAsia="宋体"/>
                      <w:color w:val="000000" w:themeColor="text1"/>
                      <w:sz w:val="21"/>
                      <w:szCs w:val="24"/>
                      <w:highlight w:val="none"/>
                      <w14:textFill>
                        <w14:solidFill>
                          <w14:schemeClr w14:val="tx1"/>
                        </w14:solidFill>
                      </w14:textFill>
                    </w:rPr>
                    <w:t>厂</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z w:val="21"/>
                      <w:szCs w:val="24"/>
                      <w:highlight w:val="none"/>
                      <w:lang w:eastAsia="zh-CN"/>
                      <w14:textFill>
                        <w14:solidFill>
                          <w14:schemeClr w14:val="tx1"/>
                        </w14:solidFill>
                      </w14:textFill>
                    </w:rPr>
                    <w:t>达</w:t>
                  </w:r>
                  <w:r>
                    <w:rPr>
                      <w:rFonts w:hint="eastAsia" w:ascii="Times New Roman" w:hAnsi="Times New Roman" w:eastAsia="宋体"/>
                      <w:b w:val="0"/>
                      <w:bCs w:val="0"/>
                      <w:color w:val="000000" w:themeColor="text1"/>
                      <w:szCs w:val="21"/>
                      <w:highlight w:val="none"/>
                      <w14:textFill>
                        <w14:solidFill>
                          <w14:schemeClr w14:val="tx1"/>
                        </w14:solidFill>
                      </w14:textFill>
                    </w:rPr>
                    <w:t>《城镇污水处理厂污染物排放标准》一级A标</w:t>
                  </w: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后外排</w:t>
                  </w:r>
                  <w:r>
                    <w:rPr>
                      <w:rFonts w:hint="eastAsia" w:ascii="宋体" w:hAnsi="宋体" w:eastAsia="宋体"/>
                      <w:color w:val="000000" w:themeColor="text1"/>
                      <w:spacing w:val="-3"/>
                      <w:sz w:val="21"/>
                      <w:szCs w:val="24"/>
                      <w:highlight w:val="none"/>
                      <w:lang w:eastAsia="zh-CN"/>
                      <w14:textFill>
                        <w14:solidFill>
                          <w14:schemeClr w14:val="tx1"/>
                        </w14:solidFill>
                      </w14:textFill>
                    </w:rPr>
                    <w:t>。本项目区域大气环境属于达标区，执行《四川省水泥工业大气污染物排放</w:t>
                  </w:r>
                  <w:r>
                    <w:rPr>
                      <w:rFonts w:hint="default" w:ascii="Times New Roman" w:hAnsi="Times New Roman" w:eastAsia="宋体" w:cs="Times New Roman"/>
                      <w:color w:val="000000" w:themeColor="text1"/>
                      <w:spacing w:val="-3"/>
                      <w:sz w:val="21"/>
                      <w:szCs w:val="24"/>
                      <w:highlight w:val="none"/>
                      <w:lang w:eastAsia="zh-CN"/>
                      <w14:textFill>
                        <w14:solidFill>
                          <w14:schemeClr w14:val="tx1"/>
                        </w14:solidFill>
                      </w14:textFill>
                    </w:rPr>
                    <w:t>标准（DB51 2864-2021）</w:t>
                  </w:r>
                  <w:r>
                    <w:rPr>
                      <w:rFonts w:hint="eastAsia" w:ascii="宋体" w:hAnsi="宋体" w:eastAsia="宋体"/>
                      <w:color w:val="000000" w:themeColor="text1"/>
                      <w:spacing w:val="-3"/>
                      <w:sz w:val="21"/>
                      <w:szCs w:val="24"/>
                      <w:highlight w:val="none"/>
                      <w:lang w:eastAsia="zh-CN"/>
                      <w14:textFill>
                        <w14:solidFill>
                          <w14:schemeClr w14:val="tx1"/>
                        </w14:solidFill>
                      </w14:textFill>
                    </w:rPr>
                    <w:t>》排放限值，本项目粉尘均为无组织排放，不设置总量控制指标。</w:t>
                  </w:r>
                </w:p>
              </w:tc>
              <w:tc>
                <w:tcPr>
                  <w:tcW w:w="273" w:type="pct"/>
                  <w:gridSpan w:val="2"/>
                  <w:shd w:val="clear" w:color="auto" w:fill="auto"/>
                  <w:vAlign w:val="center"/>
                </w:tcPr>
                <w:p w14:paraId="64E9434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6EB35B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470E134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57DD0F7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6DEE751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6E47E8B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联防联控要求</w:t>
                  </w:r>
                </w:p>
                <w:p w14:paraId="3F35FB0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加强成都平原经济区信息共享和联动合作，协力推进产业和能源结构优化调整，加强大气污染源头防控，加强潼遂合作。</w:t>
                  </w:r>
                </w:p>
                <w:p w14:paraId="6140438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其他环境风险防控要求</w:t>
                  </w:r>
                </w:p>
                <w:p w14:paraId="3D7B6AF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1.企业环境风险防控要求：涉及有毒有害、易燃易爆物质的新建、改扩建项目，严控准入要求。</w:t>
                  </w:r>
                </w:p>
                <w:p w14:paraId="43130C2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val="0"/>
                      <w:bCs w:val="0"/>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2.园区环境风险防控要求：构建三级环境风险防控体系，强化危化品泄漏应急处置措施，确保风险可控。针对化工园区进一步强化风险防控。</w:t>
                  </w:r>
                </w:p>
                <w:p w14:paraId="67649B0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val="0"/>
                      <w:bCs w:val="0"/>
                      <w:color w:val="000000" w:themeColor="text1"/>
                      <w:szCs w:val="21"/>
                      <w:highlight w:val="none"/>
                      <w14:textFill>
                        <w14:solidFill>
                          <w14:schemeClr w14:val="tx1"/>
                        </w14:solidFill>
                      </w14:textFill>
                    </w:rPr>
                    <w:t>3.用地环境风险防控要求：化工、电镀等行业企业拆除生产设施设备、构筑物和污染治理设施，要事先制定残留污染物清理和安全处置方案，要严格按照有关规定实施安全处理处置，防范拆除活动污染土壤。</w:t>
                  </w:r>
                </w:p>
              </w:tc>
              <w:tc>
                <w:tcPr>
                  <w:tcW w:w="830" w:type="pct"/>
                  <w:shd w:val="clear" w:color="auto" w:fill="auto"/>
                  <w:vAlign w:val="center"/>
                </w:tcPr>
                <w:p w14:paraId="2E5CF8C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项目风险物质最大存储量Q</w:t>
                  </w: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w:t>
                  </w: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1，经落实各项风险防范措施后，风险可控。</w:t>
                  </w:r>
                </w:p>
              </w:tc>
              <w:tc>
                <w:tcPr>
                  <w:tcW w:w="271" w:type="pct"/>
                  <w:shd w:val="clear" w:color="auto" w:fill="auto"/>
                  <w:vAlign w:val="center"/>
                </w:tcPr>
                <w:p w14:paraId="1E40766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334CE8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56CD7BC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28151FC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2F89BEE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3E14C39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水资源利用总量要求</w:t>
                  </w:r>
                </w:p>
                <w:p w14:paraId="79AEC3B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1.到2025年，万元工业增加值用水量下降到32.0m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万元，重复利用率提高到84%；</w:t>
                  </w:r>
                </w:p>
                <w:p w14:paraId="347969B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2.至2030年，万元工业增加值用水量进一步减少为28.0m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万元，重复利用率提高到85%；</w:t>
                  </w:r>
                </w:p>
                <w:p w14:paraId="79F20A2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3.新、改扩建项目水耗指标满足《四川省省级生态工业园区指标》综合类生态工业园区要求。</w:t>
                  </w:r>
                </w:p>
                <w:p w14:paraId="4CC88AD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地下水开采要求</w:t>
                  </w:r>
                </w:p>
                <w:p w14:paraId="4FFCE70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全面建设节水型社会，达到合理高效用水。</w:t>
                  </w:r>
                </w:p>
                <w:p w14:paraId="1836069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能源利用总量及效率要求</w:t>
                  </w:r>
                </w:p>
                <w:p w14:paraId="5224BBE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1.扩大高污染燃料禁燃区范围，在市、县（区）、镇（乡）建成区全面实施“煤改气”“煤改电”。</w:t>
                  </w:r>
                </w:p>
                <w:p w14:paraId="1E2CB14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2.新、改扩建项目能耗指标满足《四川省省级生态工业园区指标》综合类生态工业园区要求。</w:t>
                  </w:r>
                </w:p>
                <w:p w14:paraId="0ABBE2F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3.实施新建项目与煤炭消费总量控制挂钩机制，耗煤建设项目实行煤炭消耗等量减量替代。</w:t>
                  </w:r>
                </w:p>
                <w:p w14:paraId="3339B06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4.提高煤炭利用效率和天然气利用占比，工业领域有序推进“煤改电”和“煤改气”。</w:t>
                  </w:r>
                </w:p>
                <w:p w14:paraId="1F1BA79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5.到2030年，能源消费总量控制在1000万吨标准煤以内。</w:t>
                  </w:r>
                </w:p>
                <w:p w14:paraId="520F31A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禁燃区要求</w:t>
                  </w:r>
                </w:p>
                <w:p w14:paraId="49E1BC9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1.禁燃区内禁止燃烧以下高污染燃料：</w:t>
                  </w:r>
                </w:p>
                <w:p w14:paraId="77C0694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（1）煤炭及其制品（包括原煤、散煤、煤矸石、煤泥、煤 粉、水浆煤、型煤、焦炭、兰炭、油类等常规燃料）。</w:t>
                  </w:r>
                </w:p>
                <w:p w14:paraId="333CEE1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（2）石油焦、油页岩、原油、重油、渣油、煤焦油。</w:t>
                  </w:r>
                </w:p>
                <w:p w14:paraId="4B53DCA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（3）非专用锅炉或未配置高效除尘设施的专用锅炉燃用的 生物质成型燃料。</w:t>
                  </w:r>
                </w:p>
                <w:p w14:paraId="50999DF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2.禁燃区内禁止新建、扩建燃用高污染燃料的锅炉、炉窑、炉灶等燃烧设施（集中供热、电厂锅炉除外）。</w:t>
                  </w:r>
                </w:p>
                <w:p w14:paraId="216D727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3.自2020年1月1日起，禁燃区内禁止销售高污染燃料。</w:t>
                  </w:r>
                </w:p>
                <w:p w14:paraId="654CCBE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4.加强对集中供热、电厂锅炉、10蒸吨时以上的在用燃煤锅炉以及改用清洁能源前的在用锅炉等燃烧设施的监管，确保达标排放。</w:t>
                  </w:r>
                </w:p>
                <w:p w14:paraId="6A61C4C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其他资源利用效率要求</w:t>
                  </w:r>
                </w:p>
                <w:p w14:paraId="6DFBB42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暂无</w:t>
                  </w:r>
                </w:p>
              </w:tc>
              <w:tc>
                <w:tcPr>
                  <w:tcW w:w="830" w:type="pct"/>
                  <w:shd w:val="clear" w:color="auto" w:fill="auto"/>
                  <w:vAlign w:val="center"/>
                </w:tcPr>
                <w:p w14:paraId="61386CD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本项目使用能源主要为自来水、电、天然气，不涉及煤的使用。</w:t>
                  </w: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本项目</w:t>
                  </w:r>
                  <w:r>
                    <w:rPr>
                      <w:rFonts w:hint="eastAsia" w:ascii="宋体" w:hAnsi="宋体" w:eastAsia="宋体"/>
                      <w:color w:val="000000" w:themeColor="text1"/>
                      <w:sz w:val="21"/>
                      <w:szCs w:val="24"/>
                      <w:highlight w:val="none"/>
                      <w:lang w:eastAsia="zh-CN"/>
                      <w14:textFill>
                        <w14:solidFill>
                          <w14:schemeClr w14:val="tx1"/>
                        </w14:solidFill>
                      </w14:textFill>
                    </w:rPr>
                    <w:t>场地内雨水经雨水管沟收集后排入初期雨水收集池沉淀后回用，</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本项目设置生产区废水排水收集系统、对生产废水进行沉淀处理，沉淀后的上清液回用作厂区抑尘</w:t>
                  </w:r>
                  <w:r>
                    <w:rPr>
                      <w:rFonts w:hint="eastAsia" w:ascii="宋体" w:hAnsi="宋体" w:eastAsia="宋体"/>
                      <w:color w:val="000000" w:themeColor="text1"/>
                      <w:spacing w:val="-3"/>
                      <w:sz w:val="21"/>
                      <w:szCs w:val="24"/>
                      <w:highlight w:val="none"/>
                      <w:lang w:eastAsia="zh-CN"/>
                      <w14:textFill>
                        <w14:solidFill>
                          <w14:schemeClr w14:val="tx1"/>
                        </w14:solidFill>
                      </w14:textFill>
                    </w:rPr>
                    <w:t>及清洗用水</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，无生产废水外排</w:t>
                  </w:r>
                  <w:r>
                    <w:rPr>
                      <w:rFonts w:hint="eastAsia" w:ascii="宋体" w:hAnsi="宋体" w:eastAsia="宋体"/>
                      <w:color w:val="000000" w:themeColor="text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lang w:eastAsia="zh-CN"/>
                      <w14:textFill>
                        <w14:solidFill>
                          <w14:schemeClr w14:val="tx1"/>
                        </w14:solidFill>
                      </w14:textFill>
                    </w:rPr>
                    <w:t>本项目用水来自市政管网，不涉及地下水开采。</w:t>
                  </w:r>
                </w:p>
              </w:tc>
              <w:tc>
                <w:tcPr>
                  <w:tcW w:w="271" w:type="pct"/>
                  <w:shd w:val="clear" w:color="auto" w:fill="auto"/>
                  <w:vAlign w:val="center"/>
                </w:tcPr>
                <w:p w14:paraId="321096B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4E8148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4A0C34C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restart"/>
                  <w:shd w:val="clear" w:color="auto" w:fill="auto"/>
                  <w:vAlign w:val="center"/>
                </w:tcPr>
                <w:p w14:paraId="48A50E0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单元级</w:t>
                  </w: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清单管控要求</w:t>
                  </w:r>
                </w:p>
              </w:tc>
              <w:tc>
                <w:tcPr>
                  <w:tcW w:w="556" w:type="pct"/>
                  <w:shd w:val="clear" w:color="auto" w:fill="auto"/>
                  <w:vAlign w:val="center"/>
                </w:tcPr>
                <w:p w14:paraId="3D67840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16F28BC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禁止开发建设活动的要求</w:t>
                  </w:r>
                </w:p>
                <w:p w14:paraId="4C47FEC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严禁新建涉及有毒、有害、易燃助燃、易爆、具腐蚀性等危险化学品的仓储、物流行业，石油类的仓储物流除外2.严禁新建屠宰、制浆造纸、印染、制革、医药、农药、电镀、化工等水污染物排放量大的项目3.其他参照遂宁市总体准入要求-工业重点管控单元</w:t>
                  </w:r>
                </w:p>
                <w:p w14:paraId="214288C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限制开发建设活动的要求</w:t>
                  </w:r>
                </w:p>
                <w:p w14:paraId="3D5F5EC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5D03F8D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允许开发建设活动的要求</w:t>
                  </w:r>
                </w:p>
                <w:p w14:paraId="02C8A6DD">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不符合空间布局要求活动的退出要求</w:t>
                  </w:r>
                </w:p>
                <w:p w14:paraId="6718BEA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62D41BB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768CEF7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本项目为</w:t>
                  </w:r>
                  <w:r>
                    <w:rPr>
                      <w:rFonts w:hint="default" w:ascii="Times New Roman" w:hAnsi="Times New Roman" w:eastAsia="宋体" w:cs="Times New Roman"/>
                      <w:color w:val="000000" w:themeColor="text1"/>
                      <w:sz w:val="21"/>
                      <w:szCs w:val="21"/>
                      <w:highlight w:val="none"/>
                      <w14:textFill>
                        <w14:solidFill>
                          <w14:schemeClr w14:val="tx1"/>
                        </w14:solidFill>
                      </w14:textFill>
                    </w:rPr>
                    <w:t>水泥制品制造</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项目，与蓬溪县火车站工业聚居区“建材”产业定位相符，建设用地性质为工业用地。不属于</w:t>
                  </w:r>
                  <w:r>
                    <w:rPr>
                      <w:rFonts w:hint="eastAsia" w:ascii="Times New Roman" w:hAnsi="Times New Roman" w:eastAsia="宋体"/>
                      <w:color w:val="000000" w:themeColor="text1"/>
                      <w:sz w:val="21"/>
                      <w:szCs w:val="21"/>
                      <w:highlight w:val="none"/>
                      <w14:textFill>
                        <w14:solidFill>
                          <w14:schemeClr w14:val="tx1"/>
                        </w14:solidFill>
                      </w14:textFill>
                    </w:rPr>
                    <w:t>“两高”</w:t>
                  </w:r>
                  <w:r>
                    <w:rPr>
                      <w:rFonts w:hint="eastAsia" w:ascii="Times New Roman" w:hAnsi="Times New Roman" w:eastAsia="宋体"/>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化工类项目。</w:t>
                  </w:r>
                </w:p>
              </w:tc>
              <w:tc>
                <w:tcPr>
                  <w:tcW w:w="271" w:type="pct"/>
                  <w:shd w:val="clear" w:color="auto" w:fill="auto"/>
                  <w:vAlign w:val="center"/>
                </w:tcPr>
                <w:p w14:paraId="4E74384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1EBB32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432D64A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099F4AC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7CEB9AB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79DAEC3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现有源提标升级改造</w:t>
                  </w:r>
                </w:p>
                <w:p w14:paraId="3D1853C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45831F8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新增源等量或倍量替代</w:t>
                  </w:r>
                </w:p>
                <w:p w14:paraId="5786E57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0A580F5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新增源排放标准限值</w:t>
                  </w:r>
                </w:p>
                <w:p w14:paraId="577EE64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项目产生的生产废水由企业自行处理达到《污水综合排放标准》三级或相应的行业排放标准后排入污水处理厂处理达《城镇污水处理厂污染物排放标准》一级A标或更严格标准后排放。2.其他参照遂宁市总体准入要求-工业重点管控单元</w:t>
                  </w:r>
                </w:p>
                <w:p w14:paraId="5BE1D53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污染物排放绩效水平准入要求</w:t>
                  </w:r>
                </w:p>
                <w:p w14:paraId="61F7479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3F18526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其他污染物排放管控要求</w:t>
                  </w:r>
                </w:p>
              </w:tc>
              <w:tc>
                <w:tcPr>
                  <w:tcW w:w="830" w:type="pct"/>
                  <w:shd w:val="clear" w:color="auto" w:fill="auto"/>
                  <w:vAlign w:val="center"/>
                </w:tcPr>
                <w:p w14:paraId="7C34F6B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pacing w:val="-3"/>
                      <w:sz w:val="21"/>
                      <w:szCs w:val="24"/>
                      <w:highlight w:val="none"/>
                      <w14:textFill>
                        <w14:solidFill>
                          <w14:schemeClr w14:val="tx1"/>
                        </w14:solidFill>
                      </w14:textFill>
                    </w:rPr>
                    <w:t>实</w:t>
                  </w:r>
                  <w:r>
                    <w:rPr>
                      <w:rFonts w:hint="eastAsia" w:ascii="宋体" w:hAnsi="宋体" w:eastAsia="宋体"/>
                      <w:color w:val="000000" w:themeColor="text1"/>
                      <w:sz w:val="21"/>
                      <w:szCs w:val="24"/>
                      <w:highlight w:val="none"/>
                      <w14:textFill>
                        <w14:solidFill>
                          <w14:schemeClr w14:val="tx1"/>
                        </w14:solidFill>
                      </w14:textFill>
                    </w:rPr>
                    <w:t>行</w:t>
                  </w:r>
                  <w:r>
                    <w:rPr>
                      <w:rFonts w:hint="eastAsia" w:ascii="宋体" w:hAnsi="宋体" w:eastAsia="宋体"/>
                      <w:color w:val="000000" w:themeColor="text1"/>
                      <w:spacing w:val="-3"/>
                      <w:sz w:val="21"/>
                      <w:szCs w:val="24"/>
                      <w:highlight w:val="none"/>
                      <w14:textFill>
                        <w14:solidFill>
                          <w14:schemeClr w14:val="tx1"/>
                        </w14:solidFill>
                      </w14:textFill>
                    </w:rPr>
                    <w:t>雨</w:t>
                  </w:r>
                  <w:r>
                    <w:rPr>
                      <w:rFonts w:hint="eastAsia" w:ascii="宋体" w:hAnsi="宋体" w:eastAsia="宋体"/>
                      <w:color w:val="000000" w:themeColor="text1"/>
                      <w:sz w:val="21"/>
                      <w:szCs w:val="24"/>
                      <w:highlight w:val="none"/>
                      <w14:textFill>
                        <w14:solidFill>
                          <w14:schemeClr w14:val="tx1"/>
                        </w14:solidFill>
                      </w14:textFill>
                    </w:rPr>
                    <w:t>污</w:t>
                  </w:r>
                  <w:r>
                    <w:rPr>
                      <w:rFonts w:hint="eastAsia" w:ascii="宋体" w:hAnsi="宋体" w:eastAsia="宋体"/>
                      <w:color w:val="000000" w:themeColor="text1"/>
                      <w:spacing w:val="-3"/>
                      <w:sz w:val="21"/>
                      <w:szCs w:val="24"/>
                      <w:highlight w:val="none"/>
                      <w14:textFill>
                        <w14:solidFill>
                          <w14:schemeClr w14:val="tx1"/>
                        </w14:solidFill>
                      </w14:textFill>
                    </w:rPr>
                    <w:t>分</w:t>
                  </w:r>
                  <w:r>
                    <w:rPr>
                      <w:rFonts w:hint="eastAsia" w:ascii="宋体" w:hAnsi="宋体" w:eastAsia="宋体"/>
                      <w:color w:val="000000" w:themeColor="text1"/>
                      <w:sz w:val="21"/>
                      <w:szCs w:val="24"/>
                      <w:highlight w:val="none"/>
                      <w14:textFill>
                        <w14:solidFill>
                          <w14:schemeClr w14:val="tx1"/>
                        </w14:solidFill>
                      </w14:textFill>
                    </w:rPr>
                    <w:t>流</w:t>
                  </w:r>
                  <w:r>
                    <w:rPr>
                      <w:rFonts w:hint="eastAsia" w:ascii="宋体" w:hAnsi="宋体" w:eastAsia="宋体"/>
                      <w:color w:val="000000" w:themeColor="text1"/>
                      <w:spacing w:val="-3"/>
                      <w:sz w:val="21"/>
                      <w:szCs w:val="24"/>
                      <w:highlight w:val="none"/>
                      <w14:textFill>
                        <w14:solidFill>
                          <w14:schemeClr w14:val="tx1"/>
                        </w14:solidFill>
                      </w14:textFill>
                    </w:rPr>
                    <w:t>制</w:t>
                  </w:r>
                  <w:r>
                    <w:rPr>
                      <w:rFonts w:hint="eastAsia" w:ascii="宋体" w:hAnsi="宋体" w:eastAsia="宋体"/>
                      <w:color w:val="000000" w:themeColor="text1"/>
                      <w:sz w:val="21"/>
                      <w:szCs w:val="24"/>
                      <w:highlight w:val="none"/>
                      <w14:textFill>
                        <w14:solidFill>
                          <w14:schemeClr w14:val="tx1"/>
                        </w14:solidFill>
                      </w14:textFill>
                    </w:rPr>
                    <w:t>，本</w:t>
                  </w:r>
                  <w:r>
                    <w:rPr>
                      <w:rFonts w:hint="eastAsia" w:ascii="宋体" w:hAnsi="宋体" w:eastAsia="宋体"/>
                      <w:color w:val="000000" w:themeColor="text1"/>
                      <w:spacing w:val="-3"/>
                      <w:sz w:val="21"/>
                      <w:szCs w:val="24"/>
                      <w:highlight w:val="none"/>
                      <w14:textFill>
                        <w14:solidFill>
                          <w14:schemeClr w14:val="tx1"/>
                        </w14:solidFill>
                      </w14:textFill>
                    </w:rPr>
                    <w:t>项</w:t>
                  </w:r>
                  <w:r>
                    <w:rPr>
                      <w:rFonts w:hint="eastAsia" w:ascii="宋体" w:hAnsi="宋体" w:eastAsia="宋体"/>
                      <w:color w:val="000000" w:themeColor="text1"/>
                      <w:sz w:val="21"/>
                      <w:szCs w:val="24"/>
                      <w:highlight w:val="none"/>
                      <w14:textFill>
                        <w14:solidFill>
                          <w14:schemeClr w14:val="tx1"/>
                        </w14:solidFill>
                      </w14:textFill>
                    </w:rPr>
                    <w:t>目</w:t>
                  </w:r>
                  <w:r>
                    <w:rPr>
                      <w:rFonts w:hint="eastAsia" w:ascii="宋体" w:hAnsi="宋体" w:eastAsia="宋体"/>
                      <w:color w:val="000000" w:themeColor="text1"/>
                      <w:spacing w:val="-3"/>
                      <w:sz w:val="21"/>
                      <w:szCs w:val="24"/>
                      <w:highlight w:val="none"/>
                      <w14:textFill>
                        <w14:solidFill>
                          <w14:schemeClr w14:val="tx1"/>
                        </w14:solidFill>
                      </w14:textFill>
                    </w:rPr>
                    <w:t>营</w:t>
                  </w:r>
                  <w:r>
                    <w:rPr>
                      <w:rFonts w:hint="eastAsia" w:ascii="宋体" w:hAnsi="宋体" w:eastAsia="宋体"/>
                      <w:color w:val="000000" w:themeColor="text1"/>
                      <w:sz w:val="21"/>
                      <w:szCs w:val="24"/>
                      <w:highlight w:val="none"/>
                      <w14:textFill>
                        <w14:solidFill>
                          <w14:schemeClr w14:val="tx1"/>
                        </w14:solidFill>
                      </w14:textFill>
                    </w:rPr>
                    <w:t>运期生</w:t>
                  </w:r>
                  <w:r>
                    <w:rPr>
                      <w:rFonts w:hint="eastAsia" w:ascii="宋体" w:hAnsi="宋体" w:eastAsia="宋体"/>
                      <w:color w:val="000000" w:themeColor="text1"/>
                      <w:spacing w:val="-3"/>
                      <w:sz w:val="21"/>
                      <w:szCs w:val="24"/>
                      <w:highlight w:val="none"/>
                      <w14:textFill>
                        <w14:solidFill>
                          <w14:schemeClr w14:val="tx1"/>
                        </w14:solidFill>
                      </w14:textFill>
                    </w:rPr>
                    <w:t>活</w:t>
                  </w:r>
                  <w:r>
                    <w:rPr>
                      <w:rFonts w:hint="eastAsia" w:ascii="宋体" w:hAnsi="宋体" w:eastAsia="宋体"/>
                      <w:color w:val="000000" w:themeColor="text1"/>
                      <w:sz w:val="21"/>
                      <w:szCs w:val="24"/>
                      <w:highlight w:val="none"/>
                      <w14:textFill>
                        <w14:solidFill>
                          <w14:schemeClr w14:val="tx1"/>
                        </w14:solidFill>
                      </w14:textFill>
                    </w:rPr>
                    <w:t>废</w:t>
                  </w:r>
                  <w:r>
                    <w:rPr>
                      <w:rFonts w:hint="eastAsia" w:ascii="宋体" w:hAnsi="宋体" w:eastAsia="宋体"/>
                      <w:color w:val="000000" w:themeColor="text1"/>
                      <w:spacing w:val="-3"/>
                      <w:sz w:val="21"/>
                      <w:szCs w:val="24"/>
                      <w:highlight w:val="none"/>
                      <w14:textFill>
                        <w14:solidFill>
                          <w14:schemeClr w14:val="tx1"/>
                        </w14:solidFill>
                      </w14:textFill>
                    </w:rPr>
                    <w:t>水</w:t>
                  </w:r>
                  <w:r>
                    <w:rPr>
                      <w:rFonts w:hint="eastAsia" w:ascii="宋体" w:hAnsi="宋体" w:eastAsia="宋体"/>
                      <w:color w:val="000000" w:themeColor="text1"/>
                      <w:sz w:val="21"/>
                      <w:szCs w:val="24"/>
                      <w:highlight w:val="none"/>
                      <w:lang w:eastAsia="zh-CN"/>
                      <w14:textFill>
                        <w14:solidFill>
                          <w14:schemeClr w14:val="tx1"/>
                        </w14:solidFill>
                      </w14:textFill>
                    </w:rPr>
                    <w:t>经</w:t>
                  </w:r>
                  <w:r>
                    <w:rPr>
                      <w:rFonts w:hint="eastAsia" w:ascii="宋体" w:hAnsi="宋体" w:eastAsia="宋体"/>
                      <w:color w:val="000000" w:themeColor="text1"/>
                      <w:spacing w:val="-3"/>
                      <w:sz w:val="21"/>
                      <w:szCs w:val="24"/>
                      <w:highlight w:val="none"/>
                      <w14:textFill>
                        <w14:solidFill>
                          <w14:schemeClr w14:val="tx1"/>
                        </w14:solidFill>
                      </w14:textFill>
                    </w:rPr>
                    <w:t>化</w:t>
                  </w:r>
                  <w:r>
                    <w:rPr>
                      <w:rFonts w:hint="eastAsia" w:ascii="宋体" w:hAnsi="宋体" w:eastAsia="宋体"/>
                      <w:color w:val="000000" w:themeColor="text1"/>
                      <w:sz w:val="21"/>
                      <w:szCs w:val="24"/>
                      <w:highlight w:val="none"/>
                      <w14:textFill>
                        <w14:solidFill>
                          <w14:schemeClr w14:val="tx1"/>
                        </w14:solidFill>
                      </w14:textFill>
                    </w:rPr>
                    <w:t>粪</w:t>
                  </w:r>
                  <w:r>
                    <w:rPr>
                      <w:rFonts w:hint="eastAsia" w:ascii="宋体" w:hAnsi="宋体" w:eastAsia="宋体"/>
                      <w:color w:val="000000" w:themeColor="text1"/>
                      <w:spacing w:val="-3"/>
                      <w:sz w:val="21"/>
                      <w:szCs w:val="24"/>
                      <w:highlight w:val="none"/>
                      <w14:textFill>
                        <w14:solidFill>
                          <w14:schemeClr w14:val="tx1"/>
                        </w14:solidFill>
                      </w14:textFill>
                    </w:rPr>
                    <w:t>池</w:t>
                  </w:r>
                  <w:r>
                    <w:rPr>
                      <w:rFonts w:hint="eastAsia" w:ascii="宋体" w:hAnsi="宋体" w:eastAsia="宋体"/>
                      <w:color w:val="000000" w:themeColor="text1"/>
                      <w:sz w:val="21"/>
                      <w:szCs w:val="24"/>
                      <w:highlight w:val="none"/>
                      <w14:textFill>
                        <w14:solidFill>
                          <w14:schemeClr w14:val="tx1"/>
                        </w14:solidFill>
                      </w14:textFill>
                    </w:rPr>
                    <w:t>进</w:t>
                  </w:r>
                  <w:r>
                    <w:rPr>
                      <w:rFonts w:hint="eastAsia" w:ascii="宋体" w:hAnsi="宋体" w:eastAsia="宋体"/>
                      <w:color w:val="000000" w:themeColor="text1"/>
                      <w:spacing w:val="-3"/>
                      <w:sz w:val="21"/>
                      <w:szCs w:val="24"/>
                      <w:highlight w:val="none"/>
                      <w14:textFill>
                        <w14:solidFill>
                          <w14:schemeClr w14:val="tx1"/>
                        </w14:solidFill>
                      </w14:textFill>
                    </w:rPr>
                    <w:t>行</w:t>
                  </w:r>
                  <w:r>
                    <w:rPr>
                      <w:rFonts w:hint="eastAsia" w:ascii="宋体" w:hAnsi="宋体" w:eastAsia="宋体"/>
                      <w:color w:val="000000" w:themeColor="text1"/>
                      <w:sz w:val="21"/>
                      <w:szCs w:val="24"/>
                      <w:highlight w:val="none"/>
                      <w14:textFill>
                        <w14:solidFill>
                          <w14:schemeClr w14:val="tx1"/>
                        </w14:solidFill>
                      </w14:textFill>
                    </w:rPr>
                    <w:t>预处理，</w:t>
                  </w:r>
                  <w:r>
                    <w:rPr>
                      <w:rFonts w:hint="eastAsia" w:ascii="宋体" w:hAnsi="宋体" w:eastAsia="宋体"/>
                      <w:color w:val="000000" w:themeColor="text1"/>
                      <w:spacing w:val="-3"/>
                      <w:sz w:val="21"/>
                      <w:szCs w:val="24"/>
                      <w:highlight w:val="none"/>
                      <w14:textFill>
                        <w14:solidFill>
                          <w14:schemeClr w14:val="tx1"/>
                        </w14:solidFill>
                      </w14:textFill>
                    </w:rPr>
                    <w:t>后最</w:t>
                  </w:r>
                  <w:r>
                    <w:rPr>
                      <w:rFonts w:hint="eastAsia" w:ascii="宋体" w:hAnsi="宋体" w:eastAsia="宋体"/>
                      <w:color w:val="000000" w:themeColor="text1"/>
                      <w:sz w:val="21"/>
                      <w:szCs w:val="24"/>
                      <w:highlight w:val="none"/>
                      <w14:textFill>
                        <w14:solidFill>
                          <w14:schemeClr w14:val="tx1"/>
                        </w14:solidFill>
                      </w14:textFill>
                    </w:rPr>
                    <w:t>终</w:t>
                  </w:r>
                  <w:r>
                    <w:rPr>
                      <w:rFonts w:hint="eastAsia" w:ascii="宋体" w:hAnsi="宋体" w:eastAsia="宋体"/>
                      <w:color w:val="000000" w:themeColor="text1"/>
                      <w:spacing w:val="-3"/>
                      <w:sz w:val="21"/>
                      <w:szCs w:val="24"/>
                      <w:highlight w:val="none"/>
                      <w14:textFill>
                        <w14:solidFill>
                          <w14:schemeClr w14:val="tx1"/>
                        </w14:solidFill>
                      </w14:textFill>
                    </w:rPr>
                    <w:t>排</w:t>
                  </w:r>
                  <w:r>
                    <w:rPr>
                      <w:rFonts w:hint="eastAsia" w:ascii="宋体" w:hAnsi="宋体" w:eastAsia="宋体"/>
                      <w:color w:val="000000" w:themeColor="text1"/>
                      <w:sz w:val="21"/>
                      <w:szCs w:val="24"/>
                      <w:highlight w:val="none"/>
                      <w14:textFill>
                        <w14:solidFill>
                          <w14:schemeClr w14:val="tx1"/>
                        </w14:solidFill>
                      </w14:textFill>
                    </w:rPr>
                    <w:t>入</w:t>
                  </w:r>
                  <w:r>
                    <w:rPr>
                      <w:rFonts w:hint="eastAsia" w:ascii="宋体" w:hAnsi="宋体" w:eastAsia="宋体"/>
                      <w:color w:val="000000" w:themeColor="text1"/>
                      <w:spacing w:val="-3"/>
                      <w:sz w:val="21"/>
                      <w:szCs w:val="24"/>
                      <w:highlight w:val="none"/>
                      <w14:textFill>
                        <w14:solidFill>
                          <w14:schemeClr w14:val="tx1"/>
                        </w14:solidFill>
                      </w14:textFill>
                    </w:rPr>
                    <w:t>宝</w:t>
                  </w:r>
                  <w:r>
                    <w:rPr>
                      <w:rFonts w:hint="eastAsia" w:ascii="宋体" w:hAnsi="宋体" w:eastAsia="宋体"/>
                      <w:color w:val="000000" w:themeColor="text1"/>
                      <w:sz w:val="21"/>
                      <w:szCs w:val="24"/>
                      <w:highlight w:val="none"/>
                      <w14:textFill>
                        <w14:solidFill>
                          <w14:schemeClr w14:val="tx1"/>
                        </w14:solidFill>
                      </w14:textFill>
                    </w:rPr>
                    <w:t>梵</w:t>
                  </w:r>
                  <w:r>
                    <w:rPr>
                      <w:rFonts w:hint="eastAsia" w:ascii="宋体" w:hAnsi="宋体" w:eastAsia="宋体"/>
                      <w:color w:val="000000" w:themeColor="text1"/>
                      <w:spacing w:val="-3"/>
                      <w:sz w:val="21"/>
                      <w:szCs w:val="24"/>
                      <w:highlight w:val="none"/>
                      <w14:textFill>
                        <w14:solidFill>
                          <w14:schemeClr w14:val="tx1"/>
                        </w14:solidFill>
                      </w14:textFill>
                    </w:rPr>
                    <w:t>镇</w:t>
                  </w:r>
                  <w:r>
                    <w:rPr>
                      <w:rFonts w:hint="eastAsia" w:ascii="宋体" w:hAnsi="宋体" w:eastAsia="宋体"/>
                      <w:color w:val="000000" w:themeColor="text1"/>
                      <w:sz w:val="21"/>
                      <w:szCs w:val="24"/>
                      <w:highlight w:val="none"/>
                      <w14:textFill>
                        <w14:solidFill>
                          <w14:schemeClr w14:val="tx1"/>
                        </w14:solidFill>
                      </w14:textFill>
                    </w:rPr>
                    <w:t>污水处</w:t>
                  </w:r>
                  <w:r>
                    <w:rPr>
                      <w:rFonts w:hint="eastAsia" w:ascii="宋体" w:hAnsi="宋体" w:eastAsia="宋体"/>
                      <w:color w:val="000000" w:themeColor="text1"/>
                      <w:spacing w:val="-3"/>
                      <w:sz w:val="21"/>
                      <w:szCs w:val="24"/>
                      <w:highlight w:val="none"/>
                      <w14:textFill>
                        <w14:solidFill>
                          <w14:schemeClr w14:val="tx1"/>
                        </w14:solidFill>
                      </w14:textFill>
                    </w:rPr>
                    <w:t>理</w:t>
                  </w:r>
                  <w:r>
                    <w:rPr>
                      <w:rFonts w:hint="eastAsia" w:ascii="宋体" w:hAnsi="宋体" w:eastAsia="宋体"/>
                      <w:color w:val="000000" w:themeColor="text1"/>
                      <w:sz w:val="21"/>
                      <w:szCs w:val="24"/>
                      <w:highlight w:val="none"/>
                      <w14:textFill>
                        <w14:solidFill>
                          <w14:schemeClr w14:val="tx1"/>
                        </w14:solidFill>
                      </w14:textFill>
                    </w:rPr>
                    <w:t>厂</w:t>
                  </w:r>
                  <w:r>
                    <w:rPr>
                      <w:rFonts w:hint="eastAsia" w:ascii="宋体" w:hAnsi="宋体" w:eastAsia="宋体"/>
                      <w:color w:val="000000" w:themeColor="text1"/>
                      <w:spacing w:val="-3"/>
                      <w:sz w:val="21"/>
                      <w:szCs w:val="24"/>
                      <w:highlight w:val="none"/>
                      <w14:textFill>
                        <w14:solidFill>
                          <w14:schemeClr w14:val="tx1"/>
                        </w14:solidFill>
                      </w14:textFill>
                    </w:rPr>
                    <w:t>处</w:t>
                  </w:r>
                  <w:r>
                    <w:rPr>
                      <w:rFonts w:hint="eastAsia" w:ascii="宋体" w:hAnsi="宋体" w:eastAsia="宋体"/>
                      <w:color w:val="000000" w:themeColor="text1"/>
                      <w:sz w:val="21"/>
                      <w:szCs w:val="24"/>
                      <w:highlight w:val="none"/>
                      <w14:textFill>
                        <w14:solidFill>
                          <w14:schemeClr w14:val="tx1"/>
                        </w14:solidFill>
                      </w14:textFill>
                    </w:rPr>
                    <w:t>理</w:t>
                  </w:r>
                  <w:r>
                    <w:rPr>
                      <w:rFonts w:hint="eastAsia" w:ascii="宋体" w:hAnsi="宋体" w:eastAsia="宋体"/>
                      <w:color w:val="000000" w:themeColor="text1"/>
                      <w:sz w:val="21"/>
                      <w:szCs w:val="24"/>
                      <w:highlight w:val="none"/>
                      <w:lang w:eastAsia="zh-CN"/>
                      <w14:textFill>
                        <w14:solidFill>
                          <w14:schemeClr w14:val="tx1"/>
                        </w14:solidFill>
                      </w14:textFill>
                    </w:rPr>
                    <w:t>达</w:t>
                  </w:r>
                  <w:r>
                    <w:rPr>
                      <w:rFonts w:hint="eastAsia" w:ascii="Times New Roman" w:hAnsi="Times New Roman" w:eastAsia="宋体"/>
                      <w:b w:val="0"/>
                      <w:bCs w:val="0"/>
                      <w:color w:val="000000" w:themeColor="text1"/>
                      <w:szCs w:val="21"/>
                      <w:highlight w:val="none"/>
                      <w14:textFill>
                        <w14:solidFill>
                          <w14:schemeClr w14:val="tx1"/>
                        </w14:solidFill>
                      </w14:textFill>
                    </w:rPr>
                    <w:t>《城镇污水处理厂污染物排放标准》一级A标</w:t>
                  </w: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后外排</w:t>
                  </w:r>
                  <w:r>
                    <w:rPr>
                      <w:rFonts w:hint="eastAsia" w:ascii="宋体" w:hAnsi="宋体" w:eastAsia="宋体"/>
                      <w:color w:val="000000" w:themeColor="text1"/>
                      <w:spacing w:val="-3"/>
                      <w:sz w:val="21"/>
                      <w:szCs w:val="24"/>
                      <w:highlight w:val="none"/>
                      <w:lang w:eastAsia="zh-CN"/>
                      <w14:textFill>
                        <w14:solidFill>
                          <w14:schemeClr w14:val="tx1"/>
                        </w14:solidFill>
                      </w14:textFill>
                    </w:rPr>
                    <w:t>。</w:t>
                  </w:r>
                </w:p>
              </w:tc>
              <w:tc>
                <w:tcPr>
                  <w:tcW w:w="271" w:type="pct"/>
                  <w:shd w:val="clear" w:color="auto" w:fill="auto"/>
                  <w:vAlign w:val="center"/>
                </w:tcPr>
                <w:p w14:paraId="6CCAB19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1BF754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15C823D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40BDF45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7DEF2C5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736A1A29">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严格管控类农用地管控要求</w:t>
                  </w:r>
                </w:p>
                <w:p w14:paraId="285A33F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0CFC539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安全利用类农用地管控要求</w:t>
                  </w:r>
                </w:p>
                <w:p w14:paraId="478D9FF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4D11241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污染地块管控要求</w:t>
                  </w:r>
                </w:p>
                <w:p w14:paraId="216A9C5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580E187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园区环境风险防控要求</w:t>
                  </w:r>
                </w:p>
                <w:p w14:paraId="0E1846B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16E7130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企业环境风险防控要求</w:t>
                  </w:r>
                </w:p>
                <w:p w14:paraId="6B10028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4063D24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其他环境风险防控要求</w:t>
                  </w:r>
                </w:p>
              </w:tc>
              <w:tc>
                <w:tcPr>
                  <w:tcW w:w="830" w:type="pct"/>
                  <w:shd w:val="clear" w:color="auto" w:fill="auto"/>
                  <w:vAlign w:val="center"/>
                </w:tcPr>
                <w:p w14:paraId="5CB6575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项目风险物质最大存储量Q</w:t>
                  </w: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w:t>
                  </w: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1，经落实各项风险防范措施后，风险可控。</w:t>
                  </w:r>
                </w:p>
              </w:tc>
              <w:tc>
                <w:tcPr>
                  <w:tcW w:w="271" w:type="pct"/>
                  <w:shd w:val="clear" w:color="auto" w:fill="auto"/>
                  <w:vAlign w:val="center"/>
                </w:tcPr>
                <w:p w14:paraId="67C0D6A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5EF068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372" w:type="pct"/>
                  <w:vMerge w:val="continue"/>
                  <w:shd w:val="clear" w:color="auto" w:fill="auto"/>
                  <w:vAlign w:val="center"/>
                </w:tcPr>
                <w:p w14:paraId="46A84C4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227" w:type="pct"/>
                  <w:vMerge w:val="continue"/>
                  <w:shd w:val="clear" w:color="auto" w:fill="auto"/>
                  <w:vAlign w:val="center"/>
                </w:tcPr>
                <w:p w14:paraId="45EB39B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09E2502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36E9D5E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水资源利用效率要求</w:t>
                  </w:r>
                </w:p>
                <w:p w14:paraId="045ADC1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1.新建新型建材的工业用水回用率达到90%以上。2.其他参照遂宁市总体准入要求-工业重点管控单元</w:t>
                  </w:r>
                </w:p>
                <w:p w14:paraId="443B870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地下水开采要求</w:t>
                  </w:r>
                </w:p>
                <w:p w14:paraId="12E3201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（1）蓬溪县2030年地下水开采控制控制量保持在0.09亿m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以内。（2）全面建设节水型社会，达到合理高效用水。</w:t>
                  </w:r>
                </w:p>
                <w:p w14:paraId="6B3A0482">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能源利用效率要求</w:t>
                  </w:r>
                </w:p>
                <w:p w14:paraId="064DFAE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参照遂宁市总体准入要求-工业重点管控单元</w:t>
                  </w:r>
                </w:p>
                <w:p w14:paraId="60B278F7">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其他资源利用效率要求</w:t>
                  </w:r>
                </w:p>
              </w:tc>
              <w:tc>
                <w:tcPr>
                  <w:tcW w:w="830" w:type="pct"/>
                  <w:shd w:val="clear" w:color="auto" w:fill="auto"/>
                  <w:vAlign w:val="center"/>
                </w:tcPr>
                <w:p w14:paraId="1C0D992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宋体" w:hAnsi="宋体" w:eastAsia="宋体"/>
                      <w:color w:val="000000" w:themeColor="text1"/>
                      <w:sz w:val="21"/>
                      <w:szCs w:val="24"/>
                      <w:highlight w:val="none"/>
                      <w:lang w:eastAsia="zh-CN"/>
                      <w14:textFill>
                        <w14:solidFill>
                          <w14:schemeClr w14:val="tx1"/>
                        </w14:solidFill>
                      </w14:textFill>
                    </w:rPr>
                    <w:t>本项目用水来自市政管网，不涉及地下水开采。</w:t>
                  </w:r>
                </w:p>
              </w:tc>
              <w:tc>
                <w:tcPr>
                  <w:tcW w:w="271" w:type="pct"/>
                  <w:shd w:val="clear" w:color="auto" w:fill="auto"/>
                  <w:vAlign w:val="center"/>
                </w:tcPr>
                <w:p w14:paraId="2340B98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12832F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restart"/>
                  <w:shd w:val="clear" w:color="auto" w:fill="auto"/>
                  <w:vAlign w:val="center"/>
                </w:tcPr>
                <w:p w14:paraId="561E3D1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芝溪河蓬溪县涪山坝控制单元YS5109213210007</w:t>
                  </w:r>
                </w:p>
              </w:tc>
              <w:tc>
                <w:tcPr>
                  <w:tcW w:w="556" w:type="pct"/>
                  <w:shd w:val="clear" w:color="auto" w:fill="auto"/>
                  <w:vAlign w:val="center"/>
                </w:tcPr>
                <w:p w14:paraId="3908DE0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11C2AB9B">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禁止开发建设活动的要求</w:t>
                  </w:r>
                </w:p>
                <w:p w14:paraId="57539F4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限制开发建设活动的要求</w:t>
                  </w:r>
                </w:p>
                <w:p w14:paraId="0966CC7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允许开发建设活动的要求</w:t>
                  </w:r>
                </w:p>
                <w:p w14:paraId="2163FC81">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不符合空间布局要求活动的退出要求</w:t>
                  </w:r>
                </w:p>
                <w:p w14:paraId="1A44F41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28CC673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700196D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w:t>
                  </w:r>
                </w:p>
              </w:tc>
            </w:tr>
            <w:tr w14:paraId="15FDA7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545F50C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0F532F7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294A8E7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城镇污水污染控制措施要求</w:t>
                  </w:r>
                </w:p>
                <w:p w14:paraId="625DA5F3">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工业废水污染控制措施要求</w:t>
                  </w:r>
                </w:p>
                <w:p w14:paraId="0E61F26A">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加强工业企业监管，建立在线监管系统，确保工业企业达标排放，提高工业企业水资源利用效率。</w:t>
                  </w:r>
                </w:p>
                <w:p w14:paraId="6DFD6F2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农业面源水污染控制措施要求</w:t>
                  </w:r>
                </w:p>
                <w:p w14:paraId="7663312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船舶港口水污染控制措施要求</w:t>
                  </w:r>
                </w:p>
                <w:p w14:paraId="7487162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饮用水水源和其它特殊水体保护要求</w:t>
                  </w:r>
                </w:p>
              </w:tc>
              <w:tc>
                <w:tcPr>
                  <w:tcW w:w="830" w:type="pct"/>
                  <w:shd w:val="clear" w:color="auto" w:fill="auto"/>
                  <w:vAlign w:val="center"/>
                </w:tcPr>
                <w:p w14:paraId="55DF178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本项目设置生产区废水排水收集系统、对生产废水进行沉淀处理，沉淀后的上清液回用作厂区抑尘</w:t>
                  </w:r>
                  <w:r>
                    <w:rPr>
                      <w:rFonts w:hint="eastAsia" w:ascii="宋体" w:hAnsi="宋体" w:eastAsia="宋体"/>
                      <w:color w:val="000000" w:themeColor="text1"/>
                      <w:spacing w:val="-3"/>
                      <w:sz w:val="21"/>
                      <w:szCs w:val="24"/>
                      <w:highlight w:val="none"/>
                      <w:lang w:eastAsia="zh-CN"/>
                      <w14:textFill>
                        <w14:solidFill>
                          <w14:schemeClr w14:val="tx1"/>
                        </w14:solidFill>
                      </w14:textFill>
                    </w:rPr>
                    <w:t>及清洗用水</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，无生产废水外排</w:t>
                  </w:r>
                  <w:r>
                    <w:rPr>
                      <w:rFonts w:hint="eastAsia" w:ascii="宋体" w:hAnsi="宋体" w:eastAsia="宋体"/>
                      <w:color w:val="000000" w:themeColor="text1"/>
                      <w:sz w:val="21"/>
                      <w:szCs w:val="24"/>
                      <w:highlight w:val="none"/>
                      <w14:textFill>
                        <w14:solidFill>
                          <w14:schemeClr w14:val="tx1"/>
                        </w14:solidFill>
                      </w14:textFill>
                    </w:rPr>
                    <w:t>。</w:t>
                  </w:r>
                </w:p>
              </w:tc>
              <w:tc>
                <w:tcPr>
                  <w:tcW w:w="271" w:type="pct"/>
                  <w:shd w:val="clear" w:color="auto" w:fill="auto"/>
                  <w:vAlign w:val="center"/>
                </w:tcPr>
                <w:p w14:paraId="515F0F9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符合</w:t>
                  </w:r>
                </w:p>
              </w:tc>
            </w:tr>
            <w:tr w14:paraId="4BB8C6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3E05321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45A7E1D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787DCCB6">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要加强对重点区域和重点源环境风险综合管控。强化工业园区环境风险防控工作，突出全防全控，完善各项环境风险防范制度，确保将风险防范融入日常环境管理制度体系。加强执法监督，逐步实现对重点工业园区、重点工矿企业和主要环境风险类型的动态监控。加快布局分散企业向园区集中，按要求设置生态隔离带，建设相应的防护工程。强化沿河水电站监管，强化废油收集、储存、转运处置全过程管控。</w:t>
                  </w:r>
                </w:p>
              </w:tc>
              <w:tc>
                <w:tcPr>
                  <w:tcW w:w="830" w:type="pct"/>
                  <w:shd w:val="clear" w:color="auto" w:fill="auto"/>
                  <w:vAlign w:val="center"/>
                </w:tcPr>
                <w:p w14:paraId="468AD46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项目风险物质最大存储量Q</w:t>
                  </w: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w:t>
                  </w:r>
                  <w:r>
                    <w:rPr>
                      <w:rFonts w:hint="eastAsia" w:ascii="Times New Roman" w:hAnsi="Times New Roman" w:eastAsia="宋体"/>
                      <w:b w:val="0"/>
                      <w:bCs w:val="0"/>
                      <w:snapToGrid w:val="0"/>
                      <w:color w:val="000000" w:themeColor="text1"/>
                      <w:kern w:val="0"/>
                      <w:szCs w:val="21"/>
                      <w:highlight w:val="none"/>
                      <w14:textFill>
                        <w14:solidFill>
                          <w14:schemeClr w14:val="tx1"/>
                        </w14:solidFill>
                      </w14:textFill>
                    </w:rPr>
                    <w:t>1，经落实各项风险防范措施后，风险可控。</w:t>
                  </w:r>
                </w:p>
              </w:tc>
              <w:tc>
                <w:tcPr>
                  <w:tcW w:w="271" w:type="pct"/>
                  <w:shd w:val="clear" w:color="auto" w:fill="auto"/>
                  <w:vAlign w:val="center"/>
                </w:tcPr>
                <w:p w14:paraId="20EB63C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36E15D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50D5BE0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66C852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11EBF8E3">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w:t>
                  </w:r>
                </w:p>
              </w:tc>
              <w:tc>
                <w:tcPr>
                  <w:tcW w:w="830" w:type="pct"/>
                  <w:shd w:val="clear" w:color="auto" w:fill="auto"/>
                  <w:vAlign w:val="center"/>
                </w:tcPr>
                <w:p w14:paraId="2C4174A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563D3CD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r w14:paraId="7F66C3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restart"/>
                  <w:shd w:val="clear" w:color="auto" w:fill="auto"/>
                  <w:vAlign w:val="center"/>
                </w:tcPr>
                <w:p w14:paraId="14C7DD2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蓬溪县火车站工业聚居区YS5109212310002</w:t>
                  </w:r>
                </w:p>
              </w:tc>
              <w:tc>
                <w:tcPr>
                  <w:tcW w:w="556" w:type="pct"/>
                  <w:shd w:val="clear" w:color="auto" w:fill="auto"/>
                  <w:vAlign w:val="center"/>
                </w:tcPr>
                <w:p w14:paraId="09A29D5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159B4038">
                  <w:pPr>
                    <w:pStyle w:val="38"/>
                    <w:widowControl/>
                    <w:shd w:val="clear" w:color="auto" w:fill="FFFFFF"/>
                    <w:spacing w:line="240" w:lineRule="auto"/>
                    <w:ind w:firstLine="0" w:firstLineChars="0"/>
                    <w:jc w:val="left"/>
                    <w:rPr>
                      <w:rStyle w:val="22"/>
                      <w:rFonts w:ascii="宋体" w:hAnsi="宋体"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禁止开发建设活动的要求</w:t>
                  </w:r>
                </w:p>
                <w:p w14:paraId="3079BD42">
                  <w:pPr>
                    <w:pStyle w:val="38"/>
                    <w:widowControl/>
                    <w:shd w:val="clear" w:color="auto" w:fill="FFFFFF"/>
                    <w:spacing w:line="240" w:lineRule="auto"/>
                    <w:ind w:firstLine="0" w:firstLineChars="0"/>
                    <w:jc w:val="left"/>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限制开发建设活动的要求</w:t>
                  </w:r>
                </w:p>
                <w:p w14:paraId="47C9921A">
                  <w:pPr>
                    <w:pStyle w:val="38"/>
                    <w:widowControl/>
                    <w:shd w:val="clear" w:color="auto" w:fill="FFFFFF"/>
                    <w:spacing w:line="240" w:lineRule="auto"/>
                    <w:ind w:firstLine="0" w:firstLineChars="0"/>
                    <w:jc w:val="left"/>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允许开发建设活动的要求</w:t>
                  </w:r>
                </w:p>
                <w:p w14:paraId="12331049">
                  <w:pPr>
                    <w:pStyle w:val="38"/>
                    <w:widowControl/>
                    <w:shd w:val="clear" w:color="auto" w:fill="FFFFFF"/>
                    <w:spacing w:line="240" w:lineRule="auto"/>
                    <w:ind w:firstLine="0" w:firstLineChars="0"/>
                    <w:jc w:val="left"/>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不符合空间布局要求活动的退出要求</w:t>
                  </w:r>
                </w:p>
                <w:p w14:paraId="4F2BC4E4">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Style w:val="22"/>
                      <w:rFonts w:hint="eastAsia" w:ascii="宋体" w:hAnsi="宋体" w:eastAsia="宋体" w:cs="Times New Roman"/>
                      <w:color w:val="000000" w:themeColor="text1"/>
                      <w:kern w:val="2"/>
                      <w:sz w:val="21"/>
                      <w:szCs w:val="21"/>
                      <w:highlight w:val="none"/>
                      <w:lang w:val="en-US" w:eastAsia="zh-CN" w:bidi="ar-SA"/>
                      <w14:textFill>
                        <w14:solidFill>
                          <w14:schemeClr w14:val="tx1"/>
                        </w14:solidFill>
                      </w14:textFill>
                    </w:rPr>
                    <w:t>其他空间布局约束要求</w:t>
                  </w:r>
                </w:p>
              </w:tc>
              <w:tc>
                <w:tcPr>
                  <w:tcW w:w="830" w:type="pct"/>
                  <w:shd w:val="clear" w:color="auto" w:fill="auto"/>
                  <w:vAlign w:val="center"/>
                </w:tcPr>
                <w:p w14:paraId="777AF91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67485E4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cs="Times New Roman"/>
                      <w:b/>
                      <w:bCs/>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r w14:paraId="1F9D42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276F52B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13FE0CE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4172EB26">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大气环境质量执行标准</w:t>
                  </w:r>
                </w:p>
                <w:p w14:paraId="08C1012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《环境空气质量标准》（GB3095-2012）：二级</w:t>
                  </w:r>
                </w:p>
                <w:p w14:paraId="40F4DDC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区域大气污染物削减/替代要求</w:t>
                  </w:r>
                </w:p>
                <w:p w14:paraId="367D49C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新增大气污染物排放的建设项目实施总量削减替代。</w:t>
                  </w:r>
                </w:p>
                <w:p w14:paraId="5A1F341C">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燃煤和其他能源大气污染控制要求</w:t>
                  </w:r>
                </w:p>
                <w:p w14:paraId="004A201F">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工业废气污染控制要求</w:t>
                  </w:r>
                </w:p>
                <w:p w14:paraId="64B911AE">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机动车船大气污染控制要求</w:t>
                  </w:r>
                </w:p>
                <w:p w14:paraId="7D719C8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扬尘污染控制要求</w:t>
                  </w:r>
                </w:p>
                <w:p w14:paraId="2CDEB62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农业生产经营活动大气污染控制要求</w:t>
                  </w:r>
                </w:p>
                <w:p w14:paraId="4BFD7130">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重点行业企业专项治理要求</w:t>
                  </w:r>
                </w:p>
                <w:p w14:paraId="5C91E775">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其他大气污染物排放管控要求</w:t>
                  </w:r>
                </w:p>
              </w:tc>
              <w:tc>
                <w:tcPr>
                  <w:tcW w:w="830" w:type="pct"/>
                  <w:shd w:val="clear" w:color="auto" w:fill="auto"/>
                  <w:vAlign w:val="center"/>
                </w:tcPr>
                <w:p w14:paraId="1BE4C62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b w:val="0"/>
                      <w:bCs w:val="0"/>
                      <w:snapToGrid w:val="0"/>
                      <w:color w:val="000000" w:themeColor="text1"/>
                      <w:kern w:val="0"/>
                      <w:szCs w:val="21"/>
                      <w:highlight w:val="none"/>
                      <w:lang w:eastAsia="zh-CN"/>
                      <w14:textFill>
                        <w14:solidFill>
                          <w14:schemeClr w14:val="tx1"/>
                        </w14:solidFill>
                      </w14:textFill>
                    </w:rPr>
                    <w:t>本项目位于大气环境质量现状达标区域，</w:t>
                  </w:r>
                  <w:r>
                    <w:rPr>
                      <w:rFonts w:hint="eastAsia" w:ascii="宋体" w:hAnsi="宋体" w:eastAsia="宋体"/>
                      <w:color w:val="000000" w:themeColor="text1"/>
                      <w:spacing w:val="-3"/>
                      <w:sz w:val="21"/>
                      <w:szCs w:val="24"/>
                      <w:highlight w:val="none"/>
                      <w:lang w:eastAsia="zh-CN"/>
                      <w14:textFill>
                        <w14:solidFill>
                          <w14:schemeClr w14:val="tx1"/>
                        </w14:solidFill>
                      </w14:textFill>
                    </w:rPr>
                    <w:t>本项目粉尘均为无组织排放，不设置总量控制指标。</w:t>
                  </w:r>
                </w:p>
              </w:tc>
              <w:tc>
                <w:tcPr>
                  <w:tcW w:w="271" w:type="pct"/>
                  <w:shd w:val="clear" w:color="auto" w:fill="auto"/>
                  <w:vAlign w:val="center"/>
                </w:tcPr>
                <w:p w14:paraId="040DC79D">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符合</w:t>
                  </w:r>
                </w:p>
              </w:tc>
            </w:tr>
            <w:tr w14:paraId="623780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5B5FD601">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2507BC5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613FB635">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eastAsia" w:ascii="Times New Roman" w:hAnsi="Times New Roman" w:eastAsia="宋体"/>
                      <w:snapToGrid w:val="0"/>
                      <w:color w:val="000000" w:themeColor="text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szCs w:val="21"/>
                      <w:highlight w:val="none"/>
                      <w:lang w:val="en-US" w:eastAsia="zh-CN"/>
                      <w14:textFill>
                        <w14:solidFill>
                          <w14:schemeClr w14:val="tx1"/>
                        </w14:solidFill>
                      </w14:textFill>
                    </w:rPr>
                    <w:t>/</w:t>
                  </w:r>
                </w:p>
              </w:tc>
              <w:tc>
                <w:tcPr>
                  <w:tcW w:w="830" w:type="pct"/>
                  <w:shd w:val="clear" w:color="auto" w:fill="auto"/>
                  <w:vAlign w:val="center"/>
                </w:tcPr>
                <w:p w14:paraId="14C39A6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4EE51CF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r w14:paraId="5AF291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24D2BAC2">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C966FC6">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48FEB99F">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hint="eastAsia" w:ascii="Times New Roman" w:hAnsi="Times New Roman" w:eastAsia="宋体"/>
                      <w:snapToGrid w:val="0"/>
                      <w:color w:val="000000" w:themeColor="text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szCs w:val="21"/>
                      <w:highlight w:val="none"/>
                      <w:lang w:val="en-US" w:eastAsia="zh-CN"/>
                      <w14:textFill>
                        <w14:solidFill>
                          <w14:schemeClr w14:val="tx1"/>
                        </w14:solidFill>
                      </w14:textFill>
                    </w:rPr>
                    <w:t>/</w:t>
                  </w:r>
                </w:p>
              </w:tc>
              <w:tc>
                <w:tcPr>
                  <w:tcW w:w="830" w:type="pct"/>
                  <w:shd w:val="clear" w:color="auto" w:fill="auto"/>
                  <w:vAlign w:val="center"/>
                </w:tcPr>
                <w:p w14:paraId="38A8BD53">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271" w:type="pct"/>
                  <w:shd w:val="clear" w:color="auto" w:fill="auto"/>
                  <w:vAlign w:val="center"/>
                </w:tcPr>
                <w:p w14:paraId="324A1AC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r w14:paraId="5B6406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restart"/>
                  <w:shd w:val="clear" w:color="auto" w:fill="auto"/>
                  <w:vAlign w:val="center"/>
                </w:tcPr>
                <w:p w14:paraId="502CE92C">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蓬溪县土壤优先保护区YS5109211410003</w:t>
                  </w:r>
                </w:p>
              </w:tc>
              <w:tc>
                <w:tcPr>
                  <w:tcW w:w="556" w:type="pct"/>
                  <w:shd w:val="clear" w:color="auto" w:fill="auto"/>
                  <w:vAlign w:val="center"/>
                </w:tcPr>
                <w:p w14:paraId="162C36F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空间布局约束</w:t>
                  </w:r>
                </w:p>
              </w:tc>
              <w:tc>
                <w:tcPr>
                  <w:tcW w:w="2739" w:type="pct"/>
                  <w:shd w:val="clear" w:color="auto" w:fill="auto"/>
                  <w:vAlign w:val="center"/>
                </w:tcPr>
                <w:p w14:paraId="5108B679">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禁止开发建设活动的要求</w:t>
                  </w:r>
                </w:p>
                <w:p w14:paraId="7B9B791B">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限制开发建设活动的要求</w:t>
                  </w:r>
                </w:p>
                <w:p w14:paraId="65396615">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允许开发建设活动的要求</w:t>
                  </w:r>
                </w:p>
                <w:p w14:paraId="2DFC37AE">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不符合空间布局要求活动的退出要求</w:t>
                  </w:r>
                </w:p>
                <w:p w14:paraId="6E7F169D">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其他空间布局约束要求</w:t>
                  </w:r>
                </w:p>
              </w:tc>
              <w:tc>
                <w:tcPr>
                  <w:tcW w:w="830" w:type="pct"/>
                  <w:shd w:val="clear" w:color="auto" w:fill="auto"/>
                  <w:vAlign w:val="center"/>
                </w:tcPr>
                <w:p w14:paraId="62BEA3A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14:textFill>
                        <w14:solidFill>
                          <w14:schemeClr w14:val="tx1"/>
                        </w14:solidFill>
                      </w14:textFill>
                    </w:rPr>
                    <w:t>/</w:t>
                  </w:r>
                </w:p>
              </w:tc>
              <w:tc>
                <w:tcPr>
                  <w:tcW w:w="271" w:type="pct"/>
                  <w:shd w:val="clear" w:color="auto" w:fill="auto"/>
                  <w:vAlign w:val="center"/>
                </w:tcPr>
                <w:p w14:paraId="22EC6F0F">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hint="eastAsia" w:ascii="Times New Roman" w:hAnsi="Times New Roman" w:eastAsia="宋体"/>
                      <w:b/>
                      <w:bCs/>
                      <w:snapToGrid w:val="0"/>
                      <w:color w:val="000000" w:themeColor="text1"/>
                      <w:kern w:val="0"/>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w:t>
                  </w:r>
                </w:p>
              </w:tc>
            </w:tr>
            <w:tr w14:paraId="7320E6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57A511D9">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2CD6A3F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污染物排放管控</w:t>
                  </w:r>
                </w:p>
              </w:tc>
              <w:tc>
                <w:tcPr>
                  <w:tcW w:w="2739" w:type="pct"/>
                  <w:shd w:val="clear" w:color="auto" w:fill="auto"/>
                  <w:vAlign w:val="center"/>
                </w:tcPr>
                <w:p w14:paraId="5CF8033B">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w:t>
                  </w:r>
                </w:p>
              </w:tc>
              <w:tc>
                <w:tcPr>
                  <w:tcW w:w="1305" w:type="dxa"/>
                  <w:shd w:val="clear" w:color="auto" w:fill="auto"/>
                  <w:vAlign w:val="center"/>
                </w:tcPr>
                <w:p w14:paraId="38ABDFFE">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426" w:type="dxa"/>
                  <w:shd w:val="clear" w:color="auto" w:fill="auto"/>
                  <w:vAlign w:val="center"/>
                </w:tcPr>
                <w:p w14:paraId="60062B94">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r w14:paraId="4683FD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583C44B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34D630BA">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环境风险防控</w:t>
                  </w:r>
                </w:p>
              </w:tc>
              <w:tc>
                <w:tcPr>
                  <w:tcW w:w="2739" w:type="pct"/>
                  <w:shd w:val="clear" w:color="auto" w:fill="auto"/>
                  <w:vAlign w:val="center"/>
                </w:tcPr>
                <w:p w14:paraId="31A0AB1A">
                  <w:pPr>
                    <w:keepNext w:val="0"/>
                    <w:keepLines w:val="0"/>
                    <w:pageBreakBefore w:val="0"/>
                    <w:kinsoku/>
                    <w:overflowPunct/>
                    <w:topLinePunct w:val="0"/>
                    <w:autoSpaceDE/>
                    <w:autoSpaceDN/>
                    <w:bidi w:val="0"/>
                    <w:adjustRightInd w:val="0"/>
                    <w:snapToGrid w:val="0"/>
                    <w:spacing w:line="240" w:lineRule="auto"/>
                    <w:ind w:firstLine="0" w:firstLineChars="0"/>
                    <w:jc w:val="left"/>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hint="eastAsia" w:ascii="Times New Roman" w:hAnsi="Times New Roman" w:eastAsia="宋体"/>
                      <w:snapToGrid w:val="0"/>
                      <w:color w:val="000000" w:themeColor="text1"/>
                      <w:szCs w:val="21"/>
                      <w:highlight w:val="none"/>
                      <w14:textFill>
                        <w14:solidFill>
                          <w14:schemeClr w14:val="tx1"/>
                        </w14:solidFill>
                      </w14:textFill>
                    </w:rPr>
                    <w:t>/</w:t>
                  </w:r>
                </w:p>
              </w:tc>
              <w:tc>
                <w:tcPr>
                  <w:tcW w:w="1305" w:type="dxa"/>
                  <w:shd w:val="clear" w:color="auto" w:fill="auto"/>
                  <w:vAlign w:val="center"/>
                </w:tcPr>
                <w:p w14:paraId="60B31EC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426" w:type="dxa"/>
                  <w:shd w:val="clear" w:color="auto" w:fill="auto"/>
                  <w:vAlign w:val="center"/>
                </w:tcPr>
                <w:p w14:paraId="31B71A65">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r w14:paraId="41F8F6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gridAfter w:val="1"/>
                <w:wAfter w:w="1" w:type="pct"/>
                <w:trHeight w:val="397" w:hRule="atLeast"/>
                <w:jc w:val="center"/>
              </w:trPr>
              <w:tc>
                <w:tcPr>
                  <w:tcW w:w="600" w:type="pct"/>
                  <w:gridSpan w:val="2"/>
                  <w:vMerge w:val="continue"/>
                  <w:shd w:val="clear" w:color="auto" w:fill="auto"/>
                  <w:vAlign w:val="center"/>
                </w:tcPr>
                <w:p w14:paraId="57CAB9B8">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p>
              </w:tc>
              <w:tc>
                <w:tcPr>
                  <w:tcW w:w="556" w:type="pct"/>
                  <w:shd w:val="clear" w:color="auto" w:fill="auto"/>
                  <w:vAlign w:val="center"/>
                </w:tcPr>
                <w:p w14:paraId="4CD62497">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snapToGrid w:val="0"/>
                      <w:color w:val="000000" w:themeColor="text1"/>
                      <w:szCs w:val="21"/>
                      <w:highlight w:val="none"/>
                      <w14:textFill>
                        <w14:solidFill>
                          <w14:schemeClr w14:val="tx1"/>
                        </w14:solidFill>
                      </w14:textFill>
                    </w:rPr>
                  </w:pPr>
                  <w:r>
                    <w:rPr>
                      <w:rFonts w:ascii="Times New Roman" w:hAnsi="Times New Roman" w:eastAsia="宋体"/>
                      <w:snapToGrid w:val="0"/>
                      <w:color w:val="000000" w:themeColor="text1"/>
                      <w:szCs w:val="21"/>
                      <w:highlight w:val="none"/>
                      <w14:textFill>
                        <w14:solidFill>
                          <w14:schemeClr w14:val="tx1"/>
                        </w14:solidFill>
                      </w14:textFill>
                    </w:rPr>
                    <w:t>资源开发效率要求</w:t>
                  </w:r>
                </w:p>
              </w:tc>
              <w:tc>
                <w:tcPr>
                  <w:tcW w:w="2739" w:type="pct"/>
                  <w:shd w:val="clear" w:color="auto" w:fill="auto"/>
                  <w:vAlign w:val="center"/>
                </w:tcPr>
                <w:p w14:paraId="701F3128">
                  <w:pPr>
                    <w:keepNext w:val="0"/>
                    <w:keepLines w:val="0"/>
                    <w:pageBreakBefore w:val="0"/>
                    <w:widowControl/>
                    <w:kinsoku/>
                    <w:overflowPunct/>
                    <w:topLinePunct w:val="0"/>
                    <w:autoSpaceDE/>
                    <w:autoSpaceDN/>
                    <w:bidi w:val="0"/>
                    <w:adjustRightInd w:val="0"/>
                    <w:snapToGrid w:val="0"/>
                    <w:spacing w:line="240" w:lineRule="auto"/>
                    <w:ind w:firstLine="0" w:firstLineChars="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c>
                <w:tcPr>
                  <w:tcW w:w="1305" w:type="dxa"/>
                  <w:shd w:val="clear" w:color="auto" w:fill="auto"/>
                  <w:vAlign w:val="center"/>
                </w:tcPr>
                <w:p w14:paraId="12EDB3B0">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c>
                <w:tcPr>
                  <w:tcW w:w="426" w:type="dxa"/>
                  <w:shd w:val="clear" w:color="auto" w:fill="auto"/>
                  <w:vAlign w:val="center"/>
                </w:tcPr>
                <w:p w14:paraId="645E6F2B">
                  <w:pPr>
                    <w:keepNext w:val="0"/>
                    <w:keepLines w:val="0"/>
                    <w:pageBreakBefore w:val="0"/>
                    <w:kinsoku/>
                    <w:overflowPunct/>
                    <w:topLinePunct w:val="0"/>
                    <w:autoSpaceDE/>
                    <w:autoSpaceDN/>
                    <w:bidi w:val="0"/>
                    <w:adjustRightInd w:val="0"/>
                    <w:snapToGrid w:val="0"/>
                    <w:spacing w:line="240" w:lineRule="auto"/>
                    <w:ind w:firstLine="0" w:firstLineChars="0"/>
                    <w:jc w:val="center"/>
                    <w:textAlignment w:val="auto"/>
                    <w:outlineLvl w:val="0"/>
                    <w:rPr>
                      <w:rFonts w:ascii="Times New Roman" w:hAnsi="Times New Roman" w:eastAsia="宋体"/>
                      <w:b/>
                      <w:bCs/>
                      <w:snapToGrid w:val="0"/>
                      <w:color w:val="000000" w:themeColor="text1"/>
                      <w:kern w:val="0"/>
                      <w:szCs w:val="21"/>
                      <w:highlight w:val="none"/>
                      <w14:textFill>
                        <w14:solidFill>
                          <w14:schemeClr w14:val="tx1"/>
                        </w14:solidFill>
                      </w14:textFill>
                    </w:rPr>
                  </w:pPr>
                  <w:r>
                    <w:rPr>
                      <w:rFonts w:hint="eastAsia" w:ascii="Times New Roman" w:hAnsi="Times New Roman" w:eastAsia="宋体"/>
                      <w:b/>
                      <w:bCs/>
                      <w:snapToGrid w:val="0"/>
                      <w:color w:val="000000" w:themeColor="text1"/>
                      <w:kern w:val="0"/>
                      <w:szCs w:val="21"/>
                      <w:highlight w:val="none"/>
                      <w:lang w:val="en-US" w:eastAsia="zh-CN"/>
                      <w14:textFill>
                        <w14:solidFill>
                          <w14:schemeClr w14:val="tx1"/>
                        </w14:solidFill>
                      </w14:textFill>
                    </w:rPr>
                    <w:t>/</w:t>
                  </w:r>
                </w:p>
              </w:tc>
            </w:tr>
          </w:tbl>
          <w:p w14:paraId="71676D87">
            <w:pPr>
              <w:adjustRightInd w:val="0"/>
              <w:snapToGrid w:val="0"/>
              <w:spacing w:before="120" w:beforeLines="50" w:line="360" w:lineRule="auto"/>
              <w:ind w:firstLine="482" w:firstLineChars="200"/>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3、项目与“三线一单”的符合性分析结论</w:t>
            </w:r>
          </w:p>
          <w:p w14:paraId="71646C38">
            <w:pPr>
              <w:keepNext w:val="0"/>
              <w:keepLines w:val="0"/>
              <w:pageBreakBefore w:val="0"/>
              <w:widowControl w:val="0"/>
              <w:kinsoku/>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本项目</w:t>
            </w:r>
            <w:r>
              <w:rPr>
                <w:rFonts w:hint="eastAsia" w:ascii="Times New Roman" w:hAnsi="Times New Roman" w:eastAsia="宋体"/>
                <w:color w:val="000000" w:themeColor="text1"/>
                <w:sz w:val="24"/>
                <w:szCs w:val="24"/>
                <w:highlight w:val="none"/>
                <w14:textFill>
                  <w14:solidFill>
                    <w14:schemeClr w14:val="tx1"/>
                  </w14:solidFill>
                </w14:textFill>
              </w:rPr>
              <w:t>主要开展</w:t>
            </w:r>
            <w:r>
              <w:rPr>
                <w:rFonts w:hint="eastAsia" w:ascii="Times New Roman" w:hAnsi="Times New Roman" w:eastAsia="宋体"/>
                <w:color w:val="000000" w:themeColor="text1"/>
                <w:sz w:val="24"/>
                <w:szCs w:val="24"/>
                <w:highlight w:val="none"/>
                <w:lang w:eastAsia="zh-CN"/>
                <w14:textFill>
                  <w14:solidFill>
                    <w14:schemeClr w14:val="tx1"/>
                  </w14:solidFill>
                </w14:textFill>
              </w:rPr>
              <w:t>水泥制品制造，</w:t>
            </w:r>
            <w:r>
              <w:rPr>
                <w:rFonts w:ascii="Times New Roman" w:hAnsi="Times New Roman" w:eastAsia="宋体"/>
                <w:color w:val="000000" w:themeColor="text1"/>
                <w:sz w:val="24"/>
                <w:szCs w:val="24"/>
                <w:highlight w:val="none"/>
                <w14:textFill>
                  <w14:solidFill>
                    <w14:schemeClr w14:val="tx1"/>
                  </w14:solidFill>
                </w14:textFill>
              </w:rPr>
              <w:t>位于</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蓬溪县火车站工业聚居区</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（管控单元编号：</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ZH51092120003</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属于</w:t>
            </w:r>
            <w:r>
              <w:rPr>
                <w:rFonts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工业重点管控单元</w:t>
            </w:r>
            <w:r>
              <w:rPr>
                <w:rFonts w:hint="eastAsia" w:ascii="Times New Roman" w:hAnsi="Times New Roman" w:eastAsia="宋体" w:cs="Times New Roman"/>
                <w:color w:val="000000" w:themeColor="text1"/>
                <w:kern w:val="2"/>
                <w:sz w:val="24"/>
                <w:szCs w:val="20"/>
                <w:highlight w:val="none"/>
                <w:lang w:val="en-US" w:eastAsia="zh-CN" w:bidi="ar-SA"/>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项目相关建设内容符合该管控单元的普适性清单和单元级清单要求。</w:t>
            </w:r>
          </w:p>
          <w:p w14:paraId="35BEB591">
            <w:pPr>
              <w:keepNext w:val="0"/>
              <w:keepLines w:val="0"/>
              <w:pageBreakBefore w:val="0"/>
              <w:widowControl w:val="0"/>
              <w:kinsoku/>
              <w:wordWrap w:val="0"/>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综上分析，本项目与“三线一单”相关管控要求相符。</w:t>
            </w:r>
          </w:p>
          <w:p w14:paraId="26423EC0">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color w:val="000000" w:themeColor="text1"/>
                <w:highlight w:val="none"/>
                <w14:textFill>
                  <w14:solidFill>
                    <w14:schemeClr w14:val="tx1"/>
                  </w14:solidFill>
                </w14:textFill>
              </w:rPr>
            </w:pPr>
            <w:r>
              <w:rPr>
                <w:rFonts w:hint="eastAsia" w:eastAsia="宋体"/>
                <w:b/>
                <w:color w:val="000000" w:themeColor="text1"/>
                <w:highlight w:val="none"/>
                <w:lang w:eastAsia="zh-CN"/>
                <w14:textFill>
                  <w14:solidFill>
                    <w14:schemeClr w14:val="tx1"/>
                  </w14:solidFill>
                </w14:textFill>
              </w:rPr>
              <w:t>四</w:t>
            </w:r>
            <w:r>
              <w:rPr>
                <w:rFonts w:eastAsia="宋体"/>
                <w:b/>
                <w:color w:val="000000" w:themeColor="text1"/>
                <w:highlight w:val="none"/>
                <w14:textFill>
                  <w14:solidFill>
                    <w14:schemeClr w14:val="tx1"/>
                  </w14:solidFill>
                </w14:textFill>
              </w:rPr>
              <w:t>、</w:t>
            </w:r>
            <w:r>
              <w:rPr>
                <w:rFonts w:hint="eastAsia" w:eastAsia="宋体"/>
                <w:b/>
                <w:color w:val="000000" w:themeColor="text1"/>
                <w:highlight w:val="none"/>
                <w14:textFill>
                  <w14:solidFill>
                    <w14:schemeClr w14:val="tx1"/>
                  </w14:solidFill>
                </w14:textFill>
              </w:rPr>
              <w:t>与大气污染防治等相关规划符合性分析</w:t>
            </w:r>
          </w:p>
          <w:p w14:paraId="1E500C8E">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1、与《中华人民共和国大气污染防治法》符合性分析</w:t>
            </w:r>
          </w:p>
          <w:p w14:paraId="67E2C3E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根据《中华人民共和国大气污染防治法》（2018年12月29日修订）中“第四章 大气污染防治措施-第二节 工业污染防治-第四十八条 工业生产企业应当采取密闭、围挡、遮盖、清扫、洒水等措施，减少内部物料的堆存、传输、装卸等环节产生的粉尘和气态污染物的排放。”</w:t>
            </w:r>
          </w:p>
          <w:p w14:paraId="5EE3528F">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本项目设置有</w:t>
            </w:r>
            <w:r>
              <w:rPr>
                <w:rFonts w:hint="eastAsia" w:eastAsia="宋体"/>
                <w:color w:val="000000" w:themeColor="text1"/>
                <w:kern w:val="2"/>
                <w:highlight w:val="none"/>
                <w:lang w:eastAsia="zh-CN"/>
                <w14:textFill>
                  <w14:solidFill>
                    <w14:schemeClr w14:val="tx1"/>
                  </w14:solidFill>
                </w14:textFill>
              </w:rPr>
              <w:t>拌和站全封闭（含搅拌楼、筒仓、料仓等）</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eastAsia="zh-CN"/>
                <w14:textFill>
                  <w14:solidFill>
                    <w14:schemeClr w14:val="tx1"/>
                  </w14:solidFill>
                </w14:textFill>
              </w:rPr>
              <w:t>且所有生产</w:t>
            </w:r>
            <w:r>
              <w:rPr>
                <w:rFonts w:hint="eastAsia" w:eastAsia="宋体"/>
                <w:color w:val="000000" w:themeColor="text1"/>
                <w:kern w:val="2"/>
                <w:highlight w:val="none"/>
                <w14:textFill>
                  <w14:solidFill>
                    <w14:schemeClr w14:val="tx1"/>
                  </w14:solidFill>
                </w14:textFill>
              </w:rPr>
              <w:t>工序</w:t>
            </w:r>
            <w:r>
              <w:rPr>
                <w:rFonts w:hint="eastAsia" w:eastAsia="宋体"/>
                <w:color w:val="000000" w:themeColor="text1"/>
                <w:kern w:val="2"/>
                <w:highlight w:val="none"/>
                <w:lang w:eastAsia="zh-CN"/>
                <w14:textFill>
                  <w14:solidFill>
                    <w14:schemeClr w14:val="tx1"/>
                  </w14:solidFill>
                </w14:textFill>
              </w:rPr>
              <w:t>均在</w:t>
            </w:r>
            <w:r>
              <w:rPr>
                <w:rFonts w:hint="eastAsia" w:eastAsia="宋体"/>
                <w:color w:val="000000" w:themeColor="text1"/>
                <w:kern w:val="2"/>
                <w:highlight w:val="none"/>
                <w14:textFill>
                  <w14:solidFill>
                    <w14:schemeClr w14:val="tx1"/>
                  </w14:solidFill>
                </w14:textFill>
              </w:rPr>
              <w:t>密闭</w:t>
            </w:r>
            <w:r>
              <w:rPr>
                <w:rFonts w:hint="eastAsia" w:eastAsia="宋体"/>
                <w:color w:val="000000" w:themeColor="text1"/>
                <w:kern w:val="2"/>
                <w:highlight w:val="none"/>
                <w:lang w:eastAsia="zh-CN"/>
                <w14:textFill>
                  <w14:solidFill>
                    <w14:schemeClr w14:val="tx1"/>
                  </w14:solidFill>
                </w14:textFill>
              </w:rPr>
              <w:t>厂房内进行</w:t>
            </w:r>
            <w:r>
              <w:rPr>
                <w:rFonts w:hint="eastAsia" w:eastAsia="宋体"/>
                <w:color w:val="000000" w:themeColor="text1"/>
                <w:kern w:val="2"/>
                <w:highlight w:val="none"/>
                <w14:textFill>
                  <w14:solidFill>
                    <w14:schemeClr w14:val="tx1"/>
                  </w14:solidFill>
                </w14:textFill>
              </w:rPr>
              <w:t>，不会对周边大气产生明显影响；厂区内道路地面</w:t>
            </w:r>
            <w:r>
              <w:rPr>
                <w:rFonts w:hint="eastAsia" w:eastAsia="宋体"/>
                <w:color w:val="000000" w:themeColor="text1"/>
                <w:kern w:val="2"/>
                <w:highlight w:val="none"/>
                <w:lang w:eastAsia="zh-CN"/>
                <w14:textFill>
                  <w14:solidFill>
                    <w14:schemeClr w14:val="tx1"/>
                  </w14:solidFill>
                </w14:textFill>
              </w:rPr>
              <w:t>全部</w:t>
            </w:r>
            <w:r>
              <w:rPr>
                <w:rFonts w:hint="eastAsia" w:eastAsia="宋体"/>
                <w:color w:val="000000" w:themeColor="text1"/>
                <w:kern w:val="2"/>
                <w:highlight w:val="none"/>
                <w14:textFill>
                  <w14:solidFill>
                    <w14:schemeClr w14:val="tx1"/>
                  </w14:solidFill>
                </w14:textFill>
              </w:rPr>
              <w:t>硬化</w:t>
            </w:r>
            <w:r>
              <w:rPr>
                <w:rFonts w:hint="eastAsia" w:eastAsia="宋体"/>
                <w:color w:val="000000" w:themeColor="text1"/>
                <w:kern w:val="2"/>
                <w:highlight w:val="none"/>
                <w:lang w:eastAsia="zh-CN"/>
                <w14:textFill>
                  <w14:solidFill>
                    <w14:schemeClr w14:val="tx1"/>
                  </w14:solidFill>
                </w14:textFill>
              </w:rPr>
              <w:t>定期</w:t>
            </w:r>
            <w:r>
              <w:rPr>
                <w:rFonts w:hint="eastAsia" w:eastAsia="宋体"/>
                <w:color w:val="000000" w:themeColor="text1"/>
                <w:kern w:val="2"/>
                <w:highlight w:val="none"/>
                <w14:textFill>
                  <w14:solidFill>
                    <w14:schemeClr w14:val="tx1"/>
                  </w14:solidFill>
                </w14:textFill>
              </w:rPr>
              <w:t>洒水降尘等措施</w:t>
            </w:r>
            <w:r>
              <w:rPr>
                <w:rFonts w:hint="eastAsia" w:eastAsia="宋体"/>
                <w:color w:val="000000" w:themeColor="text1"/>
                <w:kern w:val="2"/>
                <w:highlight w:val="none"/>
                <w:lang w:eastAsia="zh-CN"/>
                <w14:textFill>
                  <w14:solidFill>
                    <w14:schemeClr w14:val="tx1"/>
                  </w14:solidFill>
                </w14:textFill>
              </w:rPr>
              <w:t>，砂石原料</w:t>
            </w:r>
            <w:r>
              <w:rPr>
                <w:rFonts w:hint="eastAsia" w:eastAsia="宋体"/>
                <w:color w:val="000000" w:themeColor="text1"/>
                <w:kern w:val="2"/>
                <w:highlight w:val="none"/>
                <w14:textFill>
                  <w14:solidFill>
                    <w14:schemeClr w14:val="tx1"/>
                  </w14:solidFill>
                </w14:textFill>
              </w:rPr>
              <w:t>堆放及运输车辆运输加盖篷布，不得超重、超载，故本项目的建设符合《中华人民共和国大气污染防治法》。</w:t>
            </w:r>
          </w:p>
          <w:p w14:paraId="19C5F1C9">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2、与《四川省“十四五”生态环境保护规划》符合性分析</w:t>
            </w:r>
          </w:p>
          <w:p w14:paraId="1B5B0F41">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四川省人民政府关于印发《四川省人民政府关于印发》的通知（川府发〔2022〕2号），“五、深化大气污染协同控制，持续改善环境空气质量-（三）深化面源污染治理中加强扬尘污染治理。完善文明施工和绿色施工管理工作制度，积极探索将建设工程施工工地扬尘排污纳入环境税范围。全面落实建筑施工“六个百分百”，重要工地实现视频监控、PM</w:t>
            </w:r>
            <w:r>
              <w:rPr>
                <w:rFonts w:hint="eastAsia" w:eastAsia="宋体"/>
                <w:color w:val="000000" w:themeColor="text1"/>
                <w:kern w:val="2"/>
                <w:highlight w:val="none"/>
                <w:vertAlign w:val="subscript"/>
                <w14:textFill>
                  <w14:solidFill>
                    <w14:schemeClr w14:val="tx1"/>
                  </w14:solidFill>
                </w14:textFill>
              </w:rPr>
              <w:t>10</w:t>
            </w:r>
            <w:r>
              <w:rPr>
                <w:rFonts w:hint="eastAsia" w:eastAsia="宋体"/>
                <w:color w:val="000000" w:themeColor="text1"/>
                <w:kern w:val="2"/>
                <w:highlight w:val="none"/>
                <w14:textFill>
                  <w14:solidFill>
                    <w14:schemeClr w14:val="tx1"/>
                  </w14:solidFill>
                </w14:textFill>
              </w:rPr>
              <w:t>在线监测全覆盖。加强铁路、公路、港口等货物运输管理，采取有效的封闭措施减少扬尘污染，无法封闭的应建设防风抑尘设施。逐步提高道路机械化清扫率，鼓励在有条件的地方开展“5G+AI”人工智能清扫作业试点示范。到2025年，地级及以上城市建成区道路机械化清扫率达到80%，县城达到70%，成都平原地区地级及以上城市达到85%。”</w:t>
            </w:r>
          </w:p>
          <w:p w14:paraId="1DCE0582">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本项目设置有不低于堆场高度的严密围挡，</w:t>
            </w:r>
            <w:r>
              <w:rPr>
                <w:rFonts w:hint="eastAsia" w:eastAsia="宋体"/>
                <w:color w:val="000000" w:themeColor="text1"/>
                <w:kern w:val="2"/>
                <w:highlight w:val="none"/>
                <w:lang w:eastAsia="zh-CN"/>
                <w14:textFill>
                  <w14:solidFill>
                    <w14:schemeClr w14:val="tx1"/>
                  </w14:solidFill>
                </w14:textFill>
              </w:rPr>
              <w:t>上设顶棚遮盖，</w:t>
            </w:r>
            <w:r>
              <w:rPr>
                <w:rFonts w:hint="eastAsia" w:eastAsia="宋体"/>
                <w:color w:val="000000" w:themeColor="text1"/>
                <w:kern w:val="2"/>
                <w:highlight w:val="none"/>
                <w14:textFill>
                  <w14:solidFill>
                    <w14:schemeClr w14:val="tx1"/>
                  </w14:solidFill>
                </w14:textFill>
              </w:rPr>
              <w:t>并设置有遮盖及喷淋措施，防止扬尘产生；项目搅拌</w:t>
            </w:r>
            <w:r>
              <w:rPr>
                <w:rFonts w:hint="eastAsia" w:eastAsia="宋体"/>
                <w:color w:val="000000" w:themeColor="text1"/>
                <w:kern w:val="2"/>
                <w:highlight w:val="none"/>
                <w:lang w:eastAsia="zh-CN"/>
                <w14:textFill>
                  <w14:solidFill>
                    <w14:schemeClr w14:val="tx1"/>
                  </w14:solidFill>
                </w14:textFill>
              </w:rPr>
              <w:t>楼</w:t>
            </w:r>
            <w:r>
              <w:rPr>
                <w:rFonts w:hint="eastAsia" w:eastAsia="宋体"/>
                <w:color w:val="000000" w:themeColor="text1"/>
                <w:kern w:val="2"/>
                <w:highlight w:val="none"/>
                <w14:textFill>
                  <w14:solidFill>
                    <w14:schemeClr w14:val="tx1"/>
                  </w14:solidFill>
                </w14:textFill>
              </w:rPr>
              <w:t>设置有喷淋装置</w:t>
            </w:r>
            <w:r>
              <w:rPr>
                <w:rFonts w:hint="eastAsia" w:eastAsia="宋体"/>
                <w:color w:val="000000" w:themeColor="text1"/>
                <w:kern w:val="2"/>
                <w:highlight w:val="none"/>
                <w:lang w:eastAsia="zh-CN"/>
                <w14:textFill>
                  <w14:solidFill>
                    <w14:schemeClr w14:val="tx1"/>
                  </w14:solidFill>
                </w14:textFill>
              </w:rPr>
              <w:t>及除尘装置</w:t>
            </w:r>
            <w:r>
              <w:rPr>
                <w:rFonts w:hint="eastAsia" w:eastAsia="宋体"/>
                <w:color w:val="000000" w:themeColor="text1"/>
                <w:kern w:val="2"/>
                <w:highlight w:val="none"/>
                <w14:textFill>
                  <w14:solidFill>
                    <w14:schemeClr w14:val="tx1"/>
                  </w14:solidFill>
                </w14:textFill>
              </w:rPr>
              <w:t>，粉尘产生量较少；项目区进出口均设置有车辆冲洗设施，运输车辆采取篷布遮盖，不得超重、超载；厂区道路路面进行硬化，并定期洒水，本项目建设符合《四川省“十四五”生态环境保护规划》。</w:t>
            </w:r>
          </w:p>
          <w:p w14:paraId="23671411">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3、与《四川省打赢蓝天保卫战等九个实施方案》符合性分析</w:t>
            </w:r>
          </w:p>
          <w:p w14:paraId="245EFA8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四川省打赢蓝天保卫战等九个实施方案》，“易产生扬尘的物料堆场采用封闭式仓库，不具备封闭式仓库改造的，应设置不低于料堆高度的严密围挡，并采取覆盖措施有效抑制扬尘污染；对场内进行搅拌、粉碎、筛分等作业时应喷水抑尘，重污染天气时禁止进行产生扬尘的作业；物料装卸配备喷雾等除尘设施，转运物料尽量采取封闭式皮带输送；厂区主要运输通道实施硬化并定期冲洗或湿式清扫，堆场进出口设置车辆冲洗设施，运输车辆实施密闭或全覆盖，及时收集清理对场外道路上洒落物料。”</w:t>
            </w:r>
          </w:p>
          <w:p w14:paraId="1F523E8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本项目设置有不低于堆场高度的严密围挡，并设置有遮盖及喷淋措施，防止扬尘产生；项目搅拌工序均设置有喷淋装置</w:t>
            </w:r>
            <w:r>
              <w:rPr>
                <w:rFonts w:hint="eastAsia" w:eastAsia="宋体"/>
                <w:color w:val="000000" w:themeColor="text1"/>
                <w:kern w:val="2"/>
                <w:highlight w:val="none"/>
                <w:lang w:eastAsia="zh-CN"/>
                <w14:textFill>
                  <w14:solidFill>
                    <w14:schemeClr w14:val="tx1"/>
                  </w14:solidFill>
                </w14:textFill>
              </w:rPr>
              <w:t>及除尘装置</w:t>
            </w:r>
            <w:r>
              <w:rPr>
                <w:rFonts w:hint="eastAsia" w:eastAsia="宋体"/>
                <w:color w:val="000000" w:themeColor="text1"/>
                <w:kern w:val="2"/>
                <w:highlight w:val="none"/>
                <w14:textFill>
                  <w14:solidFill>
                    <w14:schemeClr w14:val="tx1"/>
                  </w14:solidFill>
                </w14:textFill>
              </w:rPr>
              <w:t>，粉尘产生量较少；项目区进出口均设置有车辆冲洗设施，运输车辆采取篷布遮盖，不得超重、超载；厂区道路路面进行硬化，并定期洒水；重污染天气不进行施工，因此，本项目的建设符合《四川省打赢蓝天保卫战等九个实施方案》。</w:t>
            </w:r>
          </w:p>
          <w:p w14:paraId="2FE3529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4、与遂宁市关于印发《贯彻落实&lt;四川省打赢蓝天保卫战等九个实施方案&gt;责任分工方案》的通知符合性分析</w:t>
            </w:r>
          </w:p>
          <w:p w14:paraId="1365486F">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根据遂宁市人民政府办公室关于印发《贯彻落实&lt;四川省打赢蓝天保卫战等九个实施方案&gt;责任分工方案》的通知，“四、加强扬尘管控，提高城市环境管理水平-（五）强化堆场扬尘管控。工业企业堆场实施规范化全封闭管理，采取覆盖措施有效控制扬尘污染；堆场内进行搅拌、粉碎、筛分等作业时应喷水抑尘。堆场进出口设置车辆冲洗设施，运输车辆实施密闭或全覆盖。加强砂石厂扬尘管控。”</w:t>
            </w:r>
          </w:p>
          <w:p w14:paraId="17AFEC1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本项目堆场设置有不低于堆场高度的围挡，并设置</w:t>
            </w:r>
            <w:r>
              <w:rPr>
                <w:rFonts w:hint="eastAsia" w:eastAsia="宋体"/>
                <w:color w:val="000000" w:themeColor="text1"/>
                <w:kern w:val="2"/>
                <w:highlight w:val="none"/>
                <w:lang w:eastAsia="zh-CN"/>
                <w14:textFill>
                  <w14:solidFill>
                    <w14:schemeClr w14:val="tx1"/>
                  </w14:solidFill>
                </w14:textFill>
              </w:rPr>
              <w:t>顶棚遮盖</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eastAsia="zh-CN"/>
                <w14:textFill>
                  <w14:solidFill>
                    <w14:schemeClr w14:val="tx1"/>
                  </w14:solidFill>
                </w14:textFill>
              </w:rPr>
              <w:t>堆场内设置喷雾降尘装置</w:t>
            </w:r>
            <w:r>
              <w:rPr>
                <w:rFonts w:hint="eastAsia" w:eastAsia="宋体"/>
                <w:color w:val="000000" w:themeColor="text1"/>
                <w:kern w:val="2"/>
                <w:highlight w:val="none"/>
                <w14:textFill>
                  <w14:solidFill>
                    <w14:schemeClr w14:val="tx1"/>
                  </w14:solidFill>
                </w14:textFill>
              </w:rPr>
              <w:t>；本项目搅拌工序均设置有喷淋装置</w:t>
            </w:r>
            <w:r>
              <w:rPr>
                <w:rFonts w:hint="eastAsia" w:eastAsia="宋体"/>
                <w:color w:val="000000" w:themeColor="text1"/>
                <w:kern w:val="2"/>
                <w:highlight w:val="none"/>
                <w:lang w:eastAsia="zh-CN"/>
                <w14:textFill>
                  <w14:solidFill>
                    <w14:schemeClr w14:val="tx1"/>
                  </w14:solidFill>
                </w14:textFill>
              </w:rPr>
              <w:t>及除尘装置</w:t>
            </w:r>
            <w:r>
              <w:rPr>
                <w:rFonts w:hint="eastAsia" w:eastAsia="宋体"/>
                <w:color w:val="000000" w:themeColor="text1"/>
                <w:kern w:val="2"/>
                <w:highlight w:val="none"/>
                <w14:textFill>
                  <w14:solidFill>
                    <w14:schemeClr w14:val="tx1"/>
                  </w14:solidFill>
                </w14:textFill>
              </w:rPr>
              <w:t>，粉尘产生量较少；项目区进出口均设置有车辆冲洗设施，运输车辆采取篷布遮盖，不得超重、超载，本项目的建设符合遂宁市人民政府办公室关于印发《贯彻落实&lt;四川省打赢蓝天保卫战等九个实施方案&gt;责任分工方案》的通知。</w:t>
            </w:r>
          </w:p>
          <w:p w14:paraId="7AAB004C">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bCs/>
                <w:color w:val="000000" w:themeColor="text1"/>
                <w:kern w:val="2"/>
                <w:highlight w:val="none"/>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五</w:t>
            </w:r>
            <w:r>
              <w:rPr>
                <w:rFonts w:hint="eastAsia" w:eastAsia="宋体"/>
                <w:b/>
                <w:bCs/>
                <w:color w:val="000000" w:themeColor="text1"/>
                <w:kern w:val="2"/>
                <w:highlight w:val="none"/>
                <w14:textFill>
                  <w14:solidFill>
                    <w14:schemeClr w14:val="tx1"/>
                  </w14:solidFill>
                </w14:textFill>
              </w:rPr>
              <w:t>、与《预拌混凝土绿色生产及管理技术规程》（JGJ/T328-2014）符合性分析</w:t>
            </w:r>
          </w:p>
          <w:p w14:paraId="753AB06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中华人民共和国住房和城乡建设部公告第382号发布了《关于行业标准&lt;预拌混凝土绿色生产及管理技术规程&gt;的公告》，本项目与其符合性分析如下：</w:t>
            </w:r>
          </w:p>
          <w:p w14:paraId="16B62E91">
            <w:pPr>
              <w:pStyle w:val="41"/>
              <w:spacing w:line="360" w:lineRule="atLeast"/>
              <w:ind w:firstLine="422"/>
              <w:rPr>
                <w:rFonts w:eastAsia="宋体"/>
                <w:b/>
                <w:bCs/>
                <w:color w:val="000000" w:themeColor="text1"/>
                <w:kern w:val="2"/>
                <w:sz w:val="21"/>
                <w:szCs w:val="21"/>
                <w:highlight w:val="none"/>
                <w14:textFill>
                  <w14:solidFill>
                    <w14:schemeClr w14:val="tx1"/>
                  </w14:solidFill>
                </w14:textFill>
              </w:rPr>
            </w:pPr>
            <w:r>
              <w:rPr>
                <w:rFonts w:hint="eastAsia" w:eastAsia="宋体"/>
                <w:b/>
                <w:bCs/>
                <w:color w:val="000000" w:themeColor="text1"/>
                <w:kern w:val="2"/>
                <w:sz w:val="21"/>
                <w:szCs w:val="21"/>
                <w:highlight w:val="none"/>
                <w14:textFill>
                  <w14:solidFill>
                    <w14:schemeClr w14:val="tx1"/>
                  </w14:solidFill>
                </w14:textFill>
              </w:rPr>
              <w:t>表1-</w:t>
            </w:r>
            <w:r>
              <w:rPr>
                <w:rFonts w:hint="eastAsia" w:eastAsia="宋体"/>
                <w:b/>
                <w:bCs/>
                <w:color w:val="000000" w:themeColor="text1"/>
                <w:kern w:val="2"/>
                <w:sz w:val="21"/>
                <w:szCs w:val="21"/>
                <w:highlight w:val="none"/>
                <w:lang w:val="en-US" w:eastAsia="zh-CN"/>
                <w14:textFill>
                  <w14:solidFill>
                    <w14:schemeClr w14:val="tx1"/>
                  </w14:solidFill>
                </w14:textFill>
              </w:rPr>
              <w:t>4</w:t>
            </w:r>
            <w:r>
              <w:rPr>
                <w:rFonts w:hint="eastAsia" w:eastAsia="宋体"/>
                <w:b/>
                <w:bCs/>
                <w:color w:val="000000" w:themeColor="text1"/>
                <w:kern w:val="2"/>
                <w:sz w:val="21"/>
                <w:szCs w:val="21"/>
                <w:highlight w:val="none"/>
                <w14:textFill>
                  <w14:solidFill>
                    <w14:schemeClr w14:val="tx1"/>
                  </w14:solidFill>
                </w14:textFill>
              </w:rPr>
              <w:t xml:space="preserve">    本项目与《预拌混凝土绿色生产及管理技术规程》符合性分析</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00"/>
              <w:gridCol w:w="3613"/>
              <w:gridCol w:w="2896"/>
              <w:gridCol w:w="789"/>
            </w:tblGrid>
            <w:tr w14:paraId="1E500E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113" w:type="dxa"/>
                  <w:gridSpan w:val="2"/>
                  <w:tcBorders>
                    <w:tl2br w:val="nil"/>
                    <w:tr2bl w:val="nil"/>
                  </w:tcBorders>
                  <w:noWrap w:val="0"/>
                  <w:vAlign w:val="center"/>
                </w:tcPr>
                <w:p w14:paraId="2E508D4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《预拌混凝土绿色生产及管理技术规程》要求</w:t>
                  </w:r>
                </w:p>
              </w:tc>
              <w:tc>
                <w:tcPr>
                  <w:tcW w:w="2896" w:type="dxa"/>
                  <w:tcBorders>
                    <w:tl2br w:val="nil"/>
                    <w:tr2bl w:val="nil"/>
                  </w:tcBorders>
                  <w:noWrap w:val="0"/>
                  <w:vAlign w:val="center"/>
                </w:tcPr>
                <w:p w14:paraId="264C7C4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本项目</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情况</w:t>
                  </w:r>
                </w:p>
              </w:tc>
              <w:tc>
                <w:tcPr>
                  <w:tcW w:w="789" w:type="dxa"/>
                  <w:tcBorders>
                    <w:tl2br w:val="nil"/>
                    <w:tr2bl w:val="nil"/>
                  </w:tcBorders>
                  <w:noWrap w:val="0"/>
                  <w:vAlign w:val="center"/>
                </w:tcPr>
                <w:p w14:paraId="07AD006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符合性</w:t>
                  </w:r>
                </w:p>
              </w:tc>
            </w:tr>
            <w:tr w14:paraId="609D76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15C55D3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厂址选择</w:t>
                  </w:r>
                </w:p>
              </w:tc>
              <w:tc>
                <w:tcPr>
                  <w:tcW w:w="3613" w:type="dxa"/>
                  <w:tcBorders>
                    <w:tl2br w:val="nil"/>
                    <w:tr2bl w:val="nil"/>
                  </w:tcBorders>
                  <w:noWrap w:val="0"/>
                  <w:vAlign w:val="center"/>
                </w:tcPr>
                <w:p w14:paraId="1979D4D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3.1.1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搅拌站(楼)厂址应符合规划、建设和环境保护的要求</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06BFDE3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本项目建设用地性质为工业用地，</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厂址选址符合当地用地规划；</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同时，本项目选址与外环境相容，通过落实污染防治措施，可满足环境保护要求。</w:t>
                  </w:r>
                </w:p>
              </w:tc>
              <w:tc>
                <w:tcPr>
                  <w:tcW w:w="789" w:type="dxa"/>
                  <w:tcBorders>
                    <w:tl2br w:val="nil"/>
                    <w:tr2bl w:val="nil"/>
                  </w:tcBorders>
                  <w:noWrap w:val="0"/>
                  <w:vAlign w:val="center"/>
                </w:tcPr>
                <w:p w14:paraId="4685157E">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644A64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00B199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1C24D45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3.1.2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搅拌站(楼)厂址宜满足生产过程中合理利用地方资源和方便供应产品的要求。</w:t>
                  </w:r>
                </w:p>
              </w:tc>
              <w:tc>
                <w:tcPr>
                  <w:tcW w:w="2896" w:type="dxa"/>
                  <w:tcBorders>
                    <w:tl2br w:val="nil"/>
                    <w:tr2bl w:val="nil"/>
                  </w:tcBorders>
                  <w:noWrap w:val="0"/>
                  <w:vAlign w:val="center"/>
                </w:tcPr>
                <w:p w14:paraId="7088593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厂址距离建设工地较近，方便产品供应。</w:t>
                  </w:r>
                </w:p>
              </w:tc>
              <w:tc>
                <w:tcPr>
                  <w:tcW w:w="789" w:type="dxa"/>
                  <w:tcBorders>
                    <w:tl2br w:val="nil"/>
                    <w:tr2bl w:val="nil"/>
                  </w:tcBorders>
                  <w:noWrap w:val="0"/>
                  <w:vAlign w:val="center"/>
                </w:tcPr>
                <w:p w14:paraId="0752B71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95D43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0ADC0B7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3.2</w:t>
                  </w:r>
                  <w:r>
                    <w:rPr>
                      <w:rFonts w:hint="default" w:ascii="Times New Roman" w:hAnsi="Times New Roman" w:eastAsia="宋体" w:cs="Times New Roman"/>
                      <w:color w:val="000000" w:themeColor="text1"/>
                      <w:sz w:val="21"/>
                      <w:szCs w:val="21"/>
                      <w:highlight w:val="none"/>
                      <w14:textFill>
                        <w14:solidFill>
                          <w14:schemeClr w14:val="tx1"/>
                        </w14:solidFill>
                      </w14:textFill>
                    </w:rPr>
                    <w:t>厂区要求</w:t>
                  </w:r>
                </w:p>
              </w:tc>
              <w:tc>
                <w:tcPr>
                  <w:tcW w:w="3613" w:type="dxa"/>
                  <w:tcBorders>
                    <w:tl2br w:val="nil"/>
                    <w:tr2bl w:val="nil"/>
                  </w:tcBorders>
                  <w:noWrap w:val="0"/>
                  <w:vAlign w:val="center"/>
                </w:tcPr>
                <w:p w14:paraId="01A1E44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的生产区、办公区和生活区宜分区布置，可采取设置围墙和声屏障，或种植乔木和灌木来减弱或阻止粉尘和噪声传播，设置绿化带来规范引导人员和车辆流动等隔离措施降低生产区对生活区和办公区的环境影响</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65F440A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本项目场站内</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生产区、办公区和生活区分区布置</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于拌和区内设置办公区及混凝土室、力学室进行生产调度及产品检验</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碎石加工区、水稳站、拌合区、钢筋加工区、制梁区域分别设置独立封闭加工车间，有效降低粉尘、噪声对办公区影响。</w:t>
                  </w:r>
                </w:p>
              </w:tc>
              <w:tc>
                <w:tcPr>
                  <w:tcW w:w="789" w:type="dxa"/>
                  <w:tcBorders>
                    <w:tl2br w:val="nil"/>
                    <w:tr2bl w:val="nil"/>
                  </w:tcBorders>
                  <w:noWrap w:val="0"/>
                  <w:vAlign w:val="center"/>
                </w:tcPr>
                <w:p w14:paraId="6534AF6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244F4B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D0BB9C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78DF566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3.2.2</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厂区内道路应硬化，功能应满足生产和运输要求</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7E58B22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厂区内道路全部硬化，满足生产和运输要求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3BAC813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5F8AD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0ABD5A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48E2F0C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3.2.3</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厂区内未硬化的空地应进行绿化或采取其他防止扬尘措施，且应保持卫生清洁</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728EC6D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未硬化区域为绿化区</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789" w:type="dxa"/>
                  <w:tcBorders>
                    <w:tl2br w:val="nil"/>
                    <w:tr2bl w:val="nil"/>
                  </w:tcBorders>
                  <w:noWrap w:val="0"/>
                  <w:vAlign w:val="center"/>
                </w:tcPr>
                <w:p w14:paraId="2C336DD8">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086AC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01917D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24B307E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3.2.4</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生产区内应设置生产废弃物存放处。生产类废弃物应分类存放、集中处理</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459B25B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生产区</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拟</w:t>
                  </w:r>
                  <w:r>
                    <w:rPr>
                      <w:rFonts w:hint="default" w:ascii="Times New Roman" w:hAnsi="Times New Roman" w:eastAsia="宋体" w:cs="Times New Roman"/>
                      <w:color w:val="000000" w:themeColor="text1"/>
                      <w:sz w:val="21"/>
                      <w:szCs w:val="21"/>
                      <w:highlight w:val="none"/>
                      <w14:textFill>
                        <w14:solidFill>
                          <w14:schemeClr w14:val="tx1"/>
                        </w14:solidFill>
                      </w14:textFill>
                    </w:rPr>
                    <w:t>设置一座五级沉淀池</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3B7B79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B8693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889DDB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11D067A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3.2.5</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厂区内应配备生产废水处置系统，宜建立雨水收集系统并有效利用</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1300B27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厂区内建设</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五级</w:t>
                  </w:r>
                  <w:r>
                    <w:rPr>
                      <w:rFonts w:hint="default" w:ascii="Times New Roman" w:hAnsi="Times New Roman" w:eastAsia="宋体" w:cs="Times New Roman"/>
                      <w:color w:val="000000" w:themeColor="text1"/>
                      <w:sz w:val="21"/>
                      <w:szCs w:val="21"/>
                      <w:highlight w:val="none"/>
                      <w14:textFill>
                        <w14:solidFill>
                          <w14:schemeClr w14:val="tx1"/>
                        </w14:solidFill>
                      </w14:textFill>
                    </w:rPr>
                    <w:t>沉淀池</w:t>
                  </w:r>
                  <w:r>
                    <w:rPr>
                      <w:rFonts w:hint="default" w:ascii="Times New Roman" w:hAnsi="Times New Roman" w:eastAsia="宋体" w:cs="Times New Roman"/>
                      <w:strike w:val="0"/>
                      <w:dstrike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strike w:val="0"/>
                      <w:dstrike w:val="0"/>
                      <w:color w:val="000000" w:themeColor="text1"/>
                      <w:sz w:val="21"/>
                      <w:szCs w:val="21"/>
                      <w:highlight w:val="none"/>
                      <w:lang w:val="en-US" w:eastAsia="zh-CN"/>
                      <w14:textFill>
                        <w14:solidFill>
                          <w14:schemeClr w14:val="tx1"/>
                        </w14:solidFill>
                      </w14:textFill>
                    </w:rPr>
                    <w:t>雨水收集池</w:t>
                  </w:r>
                  <w:r>
                    <w:rPr>
                      <w:rFonts w:hint="default" w:ascii="Times New Roman" w:hAnsi="Times New Roman" w:eastAsia="宋体" w:cs="Times New Roman"/>
                      <w:strike w:val="0"/>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，能对厂区生产废水、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初期雨水、</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车辆冲洗废水进行有效沉淀和回用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48766E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DAA4A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595F2B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3613" w:type="dxa"/>
                  <w:tcBorders>
                    <w:tl2br w:val="nil"/>
                    <w:tr2bl w:val="nil"/>
                  </w:tcBorders>
                  <w:noWrap w:val="0"/>
                  <w:vAlign w:val="center"/>
                </w:tcPr>
                <w:p w14:paraId="16E0EB8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3.2.6</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厂区门前道路和环境应符合环境卫生、绿化和社会秩序的要求</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2896" w:type="dxa"/>
                  <w:tcBorders>
                    <w:tl2br w:val="nil"/>
                    <w:tr2bl w:val="nil"/>
                  </w:tcBorders>
                  <w:noWrap w:val="0"/>
                  <w:vAlign w:val="center"/>
                </w:tcPr>
                <w:p w14:paraId="0722B1F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厂区门前道路进行硬化和洒水，并对进出厂区车辆进行冲洗，以防止砂石撒漏和汽车车身及轮胎残留的泥沙掉落对周围道路及大气环境产生的不良影响</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42F49A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49AA6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4BBAE55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1"/>
                      <w:szCs w:val="21"/>
                      <w:highlight w:val="none"/>
                      <w14:textFill>
                        <w14:solidFill>
                          <w14:schemeClr w14:val="tx1"/>
                        </w14:solidFill>
                      </w14:textFill>
                    </w:rPr>
                    <w:t>设备设施</w:t>
                  </w:r>
                </w:p>
              </w:tc>
              <w:tc>
                <w:tcPr>
                  <w:tcW w:w="3613" w:type="dxa"/>
                  <w:tcBorders>
                    <w:tl2br w:val="nil"/>
                    <w:tr2bl w:val="nil"/>
                  </w:tcBorders>
                  <w:noWrap w:val="0"/>
                  <w:vAlign w:val="center"/>
                </w:tcPr>
                <w:p w14:paraId="348D78C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4.0.1预</w:t>
                  </w:r>
                  <w:r>
                    <w:rPr>
                      <w:rFonts w:hint="default" w:ascii="Times New Roman" w:hAnsi="Times New Roman" w:eastAsia="宋体" w:cs="Times New Roman"/>
                      <w:color w:val="000000" w:themeColor="text1"/>
                      <w:sz w:val="21"/>
                      <w:szCs w:val="21"/>
                      <w:highlight w:val="none"/>
                      <w14:textFill>
                        <w14:solidFill>
                          <w14:schemeClr w14:val="tx1"/>
                        </w14:solidFill>
                      </w14:textFill>
                    </w:rPr>
                    <w:t>拌混凝土绿色生产宜选用技术先进、低噪声、低能耗、低排放的搅拌、运输和试验设备。设备应符合国家现行标准《混凝土搅拌站(楼)》GB/T10171、《混凝土拌合楼》GB/T9142和《混凝土搅拌运输车》GB/T26408等的相应规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75DB11A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本项目搅拌楼、传送带等设施均选用低噪声、低能耗、低排放的设备，符合相应规定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1CCA94E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86F7F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91C013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1A10E8D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4.0.2</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搅拌站(楼)宜采用整体封闭方式</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4CF8A30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本项目拌和站（含</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、筒仓、传送装置等）</w:t>
                  </w:r>
                  <w:r>
                    <w:rPr>
                      <w:rFonts w:hint="default" w:ascii="Times New Roman" w:hAnsi="Times New Roman" w:eastAsia="宋体" w:cs="Times New Roman"/>
                      <w:color w:val="000000" w:themeColor="text1"/>
                      <w:sz w:val="21"/>
                      <w:szCs w:val="21"/>
                      <w:highlight w:val="none"/>
                      <w14:textFill>
                        <w14:solidFill>
                          <w14:schemeClr w14:val="tx1"/>
                        </w14:solidFill>
                      </w14:textFill>
                    </w:rPr>
                    <w:t>采用整体封闭结构</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6AF9D1F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F5CBB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7C576D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31043FF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4.0.3</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搅拌站(楼)应安装除尘装置，并应保持正常使用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47A5F13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搅拌楼安装除尘装置并保证正常使用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175DDCE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67E1E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1219D41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6A1C5D9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4.0.4</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搅拌站(楼)的搅拌层和称量层宜设置水冲洗装置，冲洗产生的废水宜通过专用管道进入生产废水处置系统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40764C0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的搅拌层</w:t>
                  </w:r>
                  <w:r>
                    <w:rPr>
                      <w:rFonts w:hint="default" w:ascii="Times New Roman" w:hAnsi="Times New Roman" w:eastAsia="宋体" w:cs="Times New Roman"/>
                      <w:color w:val="000000" w:themeColor="text1"/>
                      <w:sz w:val="21"/>
                      <w:szCs w:val="21"/>
                      <w:highlight w:val="none"/>
                      <w14:textFill>
                        <w14:solidFill>
                          <w14:schemeClr w14:val="tx1"/>
                        </w14:solidFill>
                      </w14:textFill>
                    </w:rPr>
                    <w:t>和称量层均设置冲洗装置，每日生产完成后对拌合楼内部进行清洗，废水通过搅拌楼底部的专用排水沟收集进入五级沉淀池沉淀处理后回用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BB927F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E2FAA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FBF1DE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7E8B04B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4.0.5</w:t>
                  </w:r>
                  <w:r>
                    <w:rPr>
                      <w:rFonts w:hint="default" w:ascii="Times New Roman" w:hAnsi="Times New Roman" w:eastAsia="宋体" w:cs="Times New Roman"/>
                      <w:color w:val="000000" w:themeColor="text1"/>
                      <w:sz w:val="21"/>
                      <w:szCs w:val="21"/>
                      <w:highlight w:val="none"/>
                      <w14:textFill>
                        <w14:solidFill>
                          <w14:schemeClr w14:val="tx1"/>
                        </w14:solidFill>
                      </w14:textFill>
                    </w:rPr>
                    <w:t>搅拌主机卸料口应设置防喷溅设施，装料区域的地面和墙壁应保持清洁卫生</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896" w:type="dxa"/>
                  <w:tcBorders>
                    <w:tl2br w:val="nil"/>
                    <w:tr2bl w:val="nil"/>
                  </w:tcBorders>
                  <w:noWrap w:val="0"/>
                  <w:vAlign w:val="center"/>
                </w:tcPr>
                <w:p w14:paraId="26F9C84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搅拌主机卸料口设置防喷溅设施，</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运营期间</w:t>
                  </w:r>
                  <w:r>
                    <w:rPr>
                      <w:rFonts w:hint="default" w:ascii="Times New Roman" w:hAnsi="Times New Roman" w:eastAsia="宋体" w:cs="Times New Roman"/>
                      <w:color w:val="000000" w:themeColor="text1"/>
                      <w:sz w:val="21"/>
                      <w:szCs w:val="21"/>
                      <w:highlight w:val="none"/>
                      <w14:textFill>
                        <w14:solidFill>
                          <w14:schemeClr w14:val="tx1"/>
                        </w14:solidFill>
                      </w14:textFill>
                    </w:rPr>
                    <w:t>保持装料区域的地面和墙壁的清洁卫生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0E53CB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26319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F50A7C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1C5AE0C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4.0.6</w:t>
                  </w:r>
                  <w:r>
                    <w:rPr>
                      <w:rFonts w:hint="default" w:ascii="Times New Roman" w:hAnsi="Times New Roman" w:eastAsia="宋体" w:cs="Times New Roman"/>
                      <w:color w:val="000000" w:themeColor="text1"/>
                      <w:sz w:val="21"/>
                      <w:szCs w:val="21"/>
                      <w:highlight w:val="none"/>
                      <w14:textFill>
                        <w14:solidFill>
                          <w14:schemeClr w14:val="tx1"/>
                        </w14:solidFill>
                      </w14:textFill>
                    </w:rPr>
                    <w:t>粉料仓应标识清晰并配备料位控制系统，料位控制系统应定期检查维护</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40BC72B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本项目粉料</w:t>
                  </w:r>
                  <w:r>
                    <w:rPr>
                      <w:rFonts w:hint="default" w:ascii="Times New Roman" w:hAnsi="Times New Roman" w:eastAsia="宋体" w:cs="Times New Roman"/>
                      <w:color w:val="000000" w:themeColor="text1"/>
                      <w:sz w:val="21"/>
                      <w:szCs w:val="21"/>
                      <w:highlight w:val="none"/>
                      <w14:textFill>
                        <w14:solidFill>
                          <w14:schemeClr w14:val="tx1"/>
                        </w14:solidFill>
                      </w14:textFill>
                    </w:rPr>
                    <w:t>仓</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均</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设置</w:t>
                  </w:r>
                  <w:r>
                    <w:rPr>
                      <w:rFonts w:hint="default" w:ascii="Times New Roman" w:hAnsi="Times New Roman" w:eastAsia="宋体" w:cs="Times New Roman"/>
                      <w:color w:val="000000" w:themeColor="text1"/>
                      <w:sz w:val="21"/>
                      <w:szCs w:val="21"/>
                      <w:highlight w:val="none"/>
                      <w14:textFill>
                        <w14:solidFill>
                          <w14:schemeClr w14:val="tx1"/>
                        </w14:solidFill>
                      </w14:textFill>
                    </w:rPr>
                    <w:t>清晰标识并配备料位控制系统，定期检查维护。</w:t>
                  </w:r>
                </w:p>
              </w:tc>
              <w:tc>
                <w:tcPr>
                  <w:tcW w:w="789" w:type="dxa"/>
                  <w:tcBorders>
                    <w:tl2br w:val="nil"/>
                    <w:tr2bl w:val="nil"/>
                  </w:tcBorders>
                  <w:noWrap w:val="0"/>
                  <w:vAlign w:val="center"/>
                </w:tcPr>
                <w:p w14:paraId="69FD30F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43B14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41AA105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22D4FE4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4.0.7</w:t>
                  </w:r>
                  <w:r>
                    <w:rPr>
                      <w:rFonts w:hint="default" w:ascii="Times New Roman" w:hAnsi="Times New Roman" w:eastAsia="宋体" w:cs="Times New Roman"/>
                      <w:color w:val="000000" w:themeColor="text1"/>
                      <w:sz w:val="21"/>
                      <w:szCs w:val="21"/>
                      <w:highlight w:val="none"/>
                      <w14:textFill>
                        <w14:solidFill>
                          <w14:schemeClr w14:val="tx1"/>
                        </w14:solidFill>
                      </w14:textFill>
                    </w:rPr>
                    <w:t>骨料堆场应符合：</w:t>
                  </w:r>
                </w:p>
                <w:p w14:paraId="558FB74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硬化地面并确保排水通畅，</w:t>
                  </w:r>
                </w:p>
                <w:p w14:paraId="08957C6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粗、细骨料应分隔堆放，</w:t>
                  </w:r>
                </w:p>
                <w:p w14:paraId="5980AE7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骨料堆场宜建成封闭式堆场，宜安装喷淋抑尘装置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7BB1EE4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本项目骨料砂石堆场</w:t>
                  </w:r>
                  <w:r>
                    <w:rPr>
                      <w:rFonts w:hint="default" w:ascii="Times New Roman" w:hAnsi="Times New Roman" w:eastAsia="宋体" w:cs="Times New Roman"/>
                      <w:color w:val="000000" w:themeColor="text1"/>
                      <w:sz w:val="21"/>
                      <w:szCs w:val="21"/>
                      <w:highlight w:val="none"/>
                      <w14:textFill>
                        <w14:solidFill>
                          <w14:schemeClr w14:val="tx1"/>
                        </w14:solidFill>
                      </w14:textFill>
                    </w:rPr>
                    <w:t>地面</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全部</w:t>
                  </w:r>
                  <w:r>
                    <w:rPr>
                      <w:rFonts w:hint="default" w:ascii="Times New Roman" w:hAnsi="Times New Roman" w:eastAsia="宋体" w:cs="Times New Roman"/>
                      <w:color w:val="000000" w:themeColor="text1"/>
                      <w:sz w:val="21"/>
                      <w:szCs w:val="21"/>
                      <w:highlight w:val="none"/>
                      <w14:textFill>
                        <w14:solidFill>
                          <w14:schemeClr w14:val="tx1"/>
                        </w14:solidFill>
                      </w14:textFill>
                    </w:rPr>
                    <w:t>硬化并将不同粒径的砂石料分隔存放，堆仓建三面围挡和彩钢顶棚，仅开放工作面，并在堆仓内安装喷淋抑尘装置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29F7E4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F82E3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1544D6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55B2C7B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4.0.8</w:t>
                  </w:r>
                  <w:r>
                    <w:rPr>
                      <w:rFonts w:hint="default" w:ascii="Times New Roman" w:hAnsi="Times New Roman" w:eastAsia="宋体" w:cs="Times New Roman"/>
                      <w:color w:val="000000" w:themeColor="text1"/>
                      <w:sz w:val="21"/>
                      <w:szCs w:val="21"/>
                      <w:highlight w:val="none"/>
                      <w14:textFill>
                        <w14:solidFill>
                          <w14:schemeClr w14:val="tx1"/>
                        </w14:solidFill>
                      </w14:textFill>
                    </w:rPr>
                    <w:t>配料地仓宜与骨料仓一起封闭，配料用皮带输送机宜侧面封闭且上部加盖</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7C14996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配料仓（斗）均采用彩钢顶棚的</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封闭</w:t>
                  </w:r>
                  <w:r>
                    <w:rPr>
                      <w:rFonts w:hint="default" w:ascii="Times New Roman" w:hAnsi="Times New Roman" w:eastAsia="宋体" w:cs="Times New Roman"/>
                      <w:color w:val="000000" w:themeColor="text1"/>
                      <w:sz w:val="21"/>
                      <w:szCs w:val="21"/>
                      <w:highlight w:val="none"/>
                      <w14:textFill>
                        <w14:solidFill>
                          <w14:schemeClr w14:val="tx1"/>
                        </w14:solidFill>
                      </w14:textFill>
                    </w:rPr>
                    <w:t>设置，运输皮带均为侧面封闭且上部加盖</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E7A5F0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33B7A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45D5A21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47E3D0B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4.0.9</w:t>
                  </w:r>
                  <w:r>
                    <w:rPr>
                      <w:rFonts w:hint="default" w:ascii="Times New Roman" w:hAnsi="Times New Roman" w:eastAsia="宋体" w:cs="Times New Roman"/>
                      <w:color w:val="000000" w:themeColor="text1"/>
                      <w:sz w:val="21"/>
                      <w:szCs w:val="21"/>
                      <w:highlight w:val="none"/>
                      <w14:textFill>
                        <w14:solidFill>
                          <w14:schemeClr w14:val="tx1"/>
                        </w14:solidFill>
                      </w14:textFill>
                    </w:rPr>
                    <w:t>粗、细骨料装卸作业宜采用布料机</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1B367D4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本项目粗细骨料</w:t>
                  </w:r>
                  <w:r>
                    <w:rPr>
                      <w:rFonts w:hint="default" w:ascii="Times New Roman" w:hAnsi="Times New Roman" w:eastAsia="宋体" w:cs="Times New Roman"/>
                      <w:color w:val="000000" w:themeColor="text1"/>
                      <w:sz w:val="21"/>
                      <w:szCs w:val="21"/>
                      <w:highlight w:val="none"/>
                      <w14:textFill>
                        <w14:solidFill>
                          <w14:schemeClr w14:val="tx1"/>
                        </w14:solidFill>
                      </w14:textFill>
                    </w:rPr>
                    <w:t>装卸作业时，均采用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r>
                    <w:rPr>
                      <w:rFonts w:hint="default" w:ascii="Times New Roman" w:hAnsi="Times New Roman" w:eastAsia="宋体" w:cs="Times New Roman"/>
                      <w:color w:val="000000" w:themeColor="text1"/>
                      <w:sz w:val="21"/>
                      <w:szCs w:val="21"/>
                      <w:highlight w:val="none"/>
                      <w14:textFill>
                        <w14:solidFill>
                          <w14:schemeClr w14:val="tx1"/>
                        </w14:solidFill>
                      </w14:textFill>
                    </w:rPr>
                    <w:t>装卸料</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74EEA8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不冲突</w:t>
                  </w:r>
                </w:p>
              </w:tc>
            </w:tr>
            <w:tr w14:paraId="4C2BB7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CED923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068FDFA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4.0.10当</w:t>
                  </w:r>
                  <w:r>
                    <w:rPr>
                      <w:rFonts w:hint="default" w:ascii="Times New Roman" w:hAnsi="Times New Roman" w:eastAsia="宋体" w:cs="Times New Roman"/>
                      <w:color w:val="000000" w:themeColor="text1"/>
                      <w:sz w:val="21"/>
                      <w:szCs w:val="21"/>
                      <w:highlight w:val="none"/>
                      <w14:textFill>
                        <w14:solidFill>
                          <w14:schemeClr w14:val="tx1"/>
                        </w14:solidFill>
                      </w14:textFill>
                    </w:rPr>
                    <w:t>处理废弃新拌混凝土的设备设施宜符合：</w:t>
                  </w:r>
                </w:p>
                <w:p w14:paraId="241BAFD9">
                  <w:pPr>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当废弃新拌混凝土用于成型小型预制构件时，应具有小型预制构件成型设备</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p w14:paraId="037B3E07">
                  <w:pPr>
                    <w:keepNext w:val="0"/>
                    <w:keepLines w:val="0"/>
                    <w:pageBreakBefore w:val="0"/>
                    <w:widowControl w:val="0"/>
                    <w:numPr>
                      <w:ilvl w:val="0"/>
                      <w:numId w:val="2"/>
                    </w:numPr>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当采用砂石分离机处置废弃新拌混凝土时，砂石分离机应状态良好且运行正常，可配备压滤机等处理设备</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p w14:paraId="6CCE781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3、可配备压滤机等处理设备。</w:t>
                  </w:r>
                </w:p>
              </w:tc>
              <w:tc>
                <w:tcPr>
                  <w:tcW w:w="2896" w:type="dxa"/>
                  <w:tcBorders>
                    <w:tl2br w:val="nil"/>
                    <w:tr2bl w:val="nil"/>
                  </w:tcBorders>
                  <w:noWrap w:val="0"/>
                  <w:vAlign w:val="center"/>
                </w:tcPr>
                <w:p w14:paraId="05668DB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废弃</w:t>
                  </w:r>
                  <w:r>
                    <w:rPr>
                      <w:rFonts w:hint="default" w:ascii="Times New Roman" w:hAnsi="Times New Roman" w:eastAsia="宋体" w:cs="Times New Roman"/>
                      <w:color w:val="000000" w:themeColor="text1"/>
                      <w:sz w:val="21"/>
                      <w:szCs w:val="21"/>
                      <w:highlight w:val="none"/>
                      <w14:textFill>
                        <w14:solidFill>
                          <w14:schemeClr w14:val="tx1"/>
                        </w14:solidFill>
                      </w14:textFill>
                    </w:rPr>
                    <w:t>新拌混凝土</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通过砂石分离机处理后回用于生产</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。场地内配备压滤机对沉淀池底泥进行脱水，脱水后泥浆经管道排入沉淀池沉淀处理。</w:t>
                  </w:r>
                </w:p>
              </w:tc>
              <w:tc>
                <w:tcPr>
                  <w:tcW w:w="789" w:type="dxa"/>
                  <w:tcBorders>
                    <w:tl2br w:val="nil"/>
                    <w:tr2bl w:val="nil"/>
                  </w:tcBorders>
                  <w:noWrap w:val="0"/>
                  <w:vAlign w:val="center"/>
                </w:tcPr>
                <w:p w14:paraId="7A4414B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EABBA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61DA56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0F57201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预拌混凝土生产企业应配备运输车清洗装置，冲洗产生的废水应通过专用管道进入生产废水处置系统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5DB8F78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于场站进出口设置车辆冲洗装置，</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运输车清洗水通过进出厂区车辆洗车平台下部收集沟收集后在洗车废水收集池进行沉淀后回用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1442B1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C20C2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9444B7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5519B09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4.0.12</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搅拌站(楼)宜在皮带传输机、搅拌主机和卸料口等部分安装实时监控系统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6AFD3C6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789" w:type="dxa"/>
                  <w:tcBorders>
                    <w:tl2br w:val="nil"/>
                    <w:tr2bl w:val="nil"/>
                  </w:tcBorders>
                  <w:noWrap w:val="0"/>
                  <w:vAlign w:val="center"/>
                </w:tcPr>
                <w:p w14:paraId="3AB9B29E">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不冲突</w:t>
                  </w:r>
                </w:p>
              </w:tc>
            </w:tr>
            <w:tr w14:paraId="144C48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02F1EE68">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原材料</w:t>
                  </w:r>
                </w:p>
              </w:tc>
              <w:tc>
                <w:tcPr>
                  <w:tcW w:w="3613" w:type="dxa"/>
                  <w:tcBorders>
                    <w:tl2br w:val="nil"/>
                    <w:tr2bl w:val="nil"/>
                  </w:tcBorders>
                  <w:noWrap w:val="0"/>
                  <w:vAlign w:val="center"/>
                </w:tcPr>
                <w:p w14:paraId="4754FA8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5.1.1</w:t>
                  </w:r>
                  <w:r>
                    <w:rPr>
                      <w:rFonts w:hint="default" w:ascii="Times New Roman" w:hAnsi="Times New Roman" w:eastAsia="宋体" w:cs="Times New Roman"/>
                      <w:color w:val="000000" w:themeColor="text1"/>
                      <w:sz w:val="21"/>
                      <w:szCs w:val="21"/>
                      <w:highlight w:val="none"/>
                      <w14:textFill>
                        <w14:solidFill>
                          <w14:schemeClr w14:val="tx1"/>
                        </w14:solidFill>
                      </w14:textFill>
                    </w:rPr>
                    <w:t>原材料的运输、装卸和存放应采取降低噪声和粉尘的措施。</w:t>
                  </w:r>
                </w:p>
              </w:tc>
              <w:tc>
                <w:tcPr>
                  <w:tcW w:w="2896" w:type="dxa"/>
                  <w:tcBorders>
                    <w:tl2br w:val="nil"/>
                    <w:tr2bl w:val="nil"/>
                  </w:tcBorders>
                  <w:noWrap w:val="0"/>
                  <w:vAlign w:val="center"/>
                </w:tcPr>
                <w:p w14:paraId="7FC0147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本项目运输车均为密闭运输，</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w:t>
                  </w:r>
                  <w:r>
                    <w:rPr>
                      <w:rFonts w:hint="default" w:ascii="Times New Roman" w:hAnsi="Times New Roman" w:eastAsia="宋体" w:cs="Times New Roman"/>
                      <w:color w:val="000000" w:themeColor="text1"/>
                      <w:sz w:val="21"/>
                      <w:szCs w:val="21"/>
                      <w:highlight w:val="none"/>
                      <w14:textFill>
                        <w14:solidFill>
                          <w14:schemeClr w14:val="tx1"/>
                        </w14:solidFill>
                      </w14:textFill>
                    </w:rPr>
                    <w:t>均为三面围挡加盖顶棚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并设置喷雾降尘装置</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道路硬化</w:t>
                  </w:r>
                  <w:r>
                    <w:rPr>
                      <w:rFonts w:hint="default" w:ascii="Times New Roman" w:hAnsi="Times New Roman" w:eastAsia="宋体" w:cs="Times New Roman"/>
                      <w:color w:val="000000" w:themeColor="text1"/>
                      <w:sz w:val="21"/>
                      <w:szCs w:val="21"/>
                      <w:highlight w:val="none"/>
                      <w14:textFill>
                        <w14:solidFill>
                          <w14:schemeClr w14:val="tx1"/>
                        </w14:solidFill>
                      </w14:textFill>
                    </w:rPr>
                    <w:t>并禁止车辆在厂区内高速行驶</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EFA048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84F36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D87DBE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5FA3989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5.1.2</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预拌混凝土生产用大宗粉料不宜使用袋装方式</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64B8B2C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w:t>
                  </w:r>
                  <w:r>
                    <w:rPr>
                      <w:rFonts w:hint="default" w:ascii="Times New Roman" w:hAnsi="Times New Roman" w:eastAsia="宋体" w:cs="Times New Roman"/>
                      <w:color w:val="000000" w:themeColor="text1"/>
                      <w:sz w:val="21"/>
                      <w:szCs w:val="21"/>
                      <w:highlight w:val="none"/>
                      <w14:textFill>
                        <w14:solidFill>
                          <w14:schemeClr w14:val="tx1"/>
                        </w14:solidFill>
                      </w14:textFill>
                    </w:rPr>
                    <w:t>项目使用粉料均通过专用的粉料运输车密闭运输，并通过自动衔接输料口输入粉料筒仓内</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3D3991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0D387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0CF33D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3AA660F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5.1.3</w:t>
                  </w:r>
                  <w:r>
                    <w:rPr>
                      <w:rFonts w:hint="default" w:ascii="Times New Roman" w:hAnsi="Times New Roman" w:eastAsia="宋体" w:cs="Times New Roman"/>
                      <w:color w:val="000000" w:themeColor="text1"/>
                      <w:sz w:val="21"/>
                      <w:szCs w:val="21"/>
                      <w:highlight w:val="none"/>
                      <w14:textFill>
                        <w14:solidFill>
                          <w14:schemeClr w14:val="tx1"/>
                        </w14:solidFill>
                      </w14:textFill>
                    </w:rPr>
                    <w:t>当掺加纤维等特殊原材料时，应安排专人负责技术操作和环境安全</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896" w:type="dxa"/>
                  <w:tcBorders>
                    <w:tl2br w:val="nil"/>
                    <w:tr2bl w:val="nil"/>
                  </w:tcBorders>
                  <w:noWrap w:val="0"/>
                  <w:vAlign w:val="center"/>
                </w:tcPr>
                <w:p w14:paraId="3495708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本项目不涉及掺加纤维等特殊原材料</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4AA8E00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D0C52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7402EE3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sz w:val="21"/>
                      <w:szCs w:val="21"/>
                      <w:highlight w:val="none"/>
                      <w14:textFill>
                        <w14:solidFill>
                          <w14:schemeClr w14:val="tx1"/>
                        </w14:solidFill>
                      </w14:textFill>
                    </w:rPr>
                    <w:t>生产废水和废浆</w:t>
                  </w:r>
                </w:p>
              </w:tc>
              <w:tc>
                <w:tcPr>
                  <w:tcW w:w="3613" w:type="dxa"/>
                  <w:tcBorders>
                    <w:tl2br w:val="nil"/>
                    <w:tr2bl w:val="nil"/>
                  </w:tcBorders>
                  <w:noWrap w:val="0"/>
                  <w:vAlign w:val="center"/>
                </w:tcPr>
                <w:p w14:paraId="1C6E6A5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配备完善的生产废水处置系统，可包括排水沟系统、多级沉淀池系统和管道系统，排水沟系统应覆盖连通搅拌站(楼)装车层、骨料堆场、砂石分离机和车辆清洗场等区域，并与多级沉淀池连接，管道系统可连通多级沉淀池和搅拌主机</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2E63F45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本项目设置生产区废水排水收集系统、沉淀池、排水沟和排水管道连接搅拌主机楼和</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；本项目使用沉淀池对生产废水进行沉淀处理，沉淀后的上清液回用作厂区抑尘</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及</w:t>
                  </w:r>
                  <w:r>
                    <w:rPr>
                      <w:rFonts w:hint="eastAsia" w:ascii="宋体" w:hAnsi="宋体" w:eastAsia="宋体"/>
                      <w:color w:val="000000" w:themeColor="text1"/>
                      <w:spacing w:val="-3"/>
                      <w:sz w:val="21"/>
                      <w:szCs w:val="24"/>
                      <w:highlight w:val="none"/>
                      <w:lang w:eastAsia="zh-CN"/>
                      <w14:textFill>
                        <w14:solidFill>
                          <w14:schemeClr w14:val="tx1"/>
                        </w14:solidFill>
                      </w14:textFill>
                    </w:rPr>
                    <w:t>清洗用水</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327D6FB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4F64F3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95B329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7EBE514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5.2.2</w:t>
                  </w:r>
                  <w:r>
                    <w:rPr>
                      <w:rFonts w:hint="default" w:ascii="Times New Roman" w:hAnsi="Times New Roman" w:eastAsia="宋体" w:cs="Times New Roman"/>
                      <w:color w:val="000000" w:themeColor="text1"/>
                      <w:sz w:val="21"/>
                      <w:szCs w:val="21"/>
                      <w:highlight w:val="none"/>
                      <w14:textFill>
                        <w14:solidFill>
                          <w14:schemeClr w14:val="tx1"/>
                        </w14:solidFill>
                      </w14:textFill>
                    </w:rPr>
                    <w:t>当采用压滤机对废浆进行处理时，压滤后的废水应通过专用管道进入生产废水回收利用装置，压滤后的固体应做无害化处理。</w:t>
                  </w:r>
                </w:p>
              </w:tc>
              <w:tc>
                <w:tcPr>
                  <w:tcW w:w="2896" w:type="dxa"/>
                  <w:tcBorders>
                    <w:tl2br w:val="nil"/>
                    <w:tr2bl w:val="nil"/>
                  </w:tcBorders>
                  <w:noWrap w:val="0"/>
                  <w:vAlign w:val="center"/>
                </w:tcPr>
                <w:p w14:paraId="5B25EB4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本项目压滤机对</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沉淀池泥浆（废浆）</w:t>
                  </w:r>
                  <w:r>
                    <w:rPr>
                      <w:rFonts w:hint="default" w:ascii="Times New Roman" w:hAnsi="Times New Roman" w:eastAsia="宋体" w:cs="Times New Roman"/>
                      <w:color w:val="000000" w:themeColor="text1"/>
                      <w:sz w:val="21"/>
                      <w:szCs w:val="21"/>
                      <w:highlight w:val="none"/>
                      <w14:textFill>
                        <w14:solidFill>
                          <w14:schemeClr w14:val="tx1"/>
                        </w14:solidFill>
                      </w14:textFill>
                    </w:rPr>
                    <w:t>进行处理，压滤后的废水应通过专用管道进入沉淀池进行沉淀处理，沉淀后的上清液回用作厂区抑尘</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及</w:t>
                  </w:r>
                  <w:bookmarkStart w:id="23" w:name="_GoBack"/>
                  <w:bookmarkEnd w:id="23"/>
                  <w:r>
                    <w:rPr>
                      <w:rFonts w:hint="eastAsia" w:ascii="宋体" w:hAnsi="宋体" w:eastAsia="宋体"/>
                      <w:color w:val="000000" w:themeColor="text1"/>
                      <w:spacing w:val="-3"/>
                      <w:sz w:val="21"/>
                      <w:szCs w:val="24"/>
                      <w:highlight w:val="none"/>
                      <w:lang w:eastAsia="zh-CN"/>
                      <w14:textFill>
                        <w14:solidFill>
                          <w14:schemeClr w14:val="tx1"/>
                        </w14:solidFill>
                      </w14:textFill>
                    </w:rPr>
                    <w:t>清洗用水</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p>
              </w:tc>
              <w:tc>
                <w:tcPr>
                  <w:tcW w:w="789" w:type="dxa"/>
                  <w:tcBorders>
                    <w:tl2br w:val="nil"/>
                    <w:tr2bl w:val="nil"/>
                  </w:tcBorders>
                  <w:noWrap w:val="0"/>
                  <w:vAlign w:val="center"/>
                </w:tcPr>
                <w:p w14:paraId="49A9048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1C0D3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4D0286E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71E6D61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5.2.3经沉淀或压滤处理的生产废水用作混凝土拌合用水相关规定....</w:t>
                  </w:r>
                </w:p>
              </w:tc>
              <w:tc>
                <w:tcPr>
                  <w:tcW w:w="2896" w:type="dxa"/>
                  <w:tcBorders>
                    <w:tl2br w:val="nil"/>
                    <w:tr2bl w:val="nil"/>
                  </w:tcBorders>
                  <w:noWrap w:val="0"/>
                  <w:vAlign w:val="center"/>
                </w:tcPr>
                <w:p w14:paraId="1F79B9F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生产废水经沉淀处理后用作场站降尘用水。</w:t>
                  </w:r>
                </w:p>
              </w:tc>
              <w:tc>
                <w:tcPr>
                  <w:tcW w:w="789" w:type="dxa"/>
                  <w:tcBorders>
                    <w:tl2br w:val="nil"/>
                    <w:tr2bl w:val="nil"/>
                  </w:tcBorders>
                  <w:noWrap w:val="0"/>
                  <w:vAlign w:val="center"/>
                </w:tcPr>
                <w:p w14:paraId="1B77762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不涉及</w:t>
                  </w:r>
                </w:p>
              </w:tc>
            </w:tr>
            <w:tr w14:paraId="4403C7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538CF8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326E807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5.2.4废浆用于预拌混凝土生产相关规定....</w:t>
                  </w:r>
                </w:p>
              </w:tc>
              <w:tc>
                <w:tcPr>
                  <w:tcW w:w="2896" w:type="dxa"/>
                  <w:tcBorders>
                    <w:tl2br w:val="nil"/>
                    <w:tr2bl w:val="nil"/>
                  </w:tcBorders>
                  <w:noWrap w:val="0"/>
                  <w:vAlign w:val="center"/>
                </w:tcPr>
                <w:p w14:paraId="2E8234A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废浆不</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用于预拌混凝土生产。采用</w:t>
                  </w:r>
                  <w:r>
                    <w:rPr>
                      <w:rFonts w:hint="default" w:ascii="Times New Roman" w:hAnsi="Times New Roman" w:eastAsia="宋体" w:cs="Times New Roman"/>
                      <w:color w:val="000000" w:themeColor="text1"/>
                      <w:sz w:val="21"/>
                      <w:szCs w:val="21"/>
                      <w:highlight w:val="none"/>
                      <w14:textFill>
                        <w14:solidFill>
                          <w14:schemeClr w14:val="tx1"/>
                        </w14:solidFill>
                      </w14:textFill>
                    </w:rPr>
                    <w:t>压滤机对</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沉淀池泥浆（废浆）</w:t>
                  </w:r>
                  <w:r>
                    <w:rPr>
                      <w:rFonts w:hint="default" w:ascii="Times New Roman" w:hAnsi="Times New Roman" w:eastAsia="宋体" w:cs="Times New Roman"/>
                      <w:color w:val="000000" w:themeColor="text1"/>
                      <w:sz w:val="21"/>
                      <w:szCs w:val="21"/>
                      <w:highlight w:val="none"/>
                      <w14:textFill>
                        <w14:solidFill>
                          <w14:schemeClr w14:val="tx1"/>
                        </w14:solidFill>
                      </w14:textFill>
                    </w:rPr>
                    <w:t>进行处理，</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p>
              </w:tc>
              <w:tc>
                <w:tcPr>
                  <w:tcW w:w="789" w:type="dxa"/>
                  <w:tcBorders>
                    <w:tl2br w:val="nil"/>
                    <w:tr2bl w:val="nil"/>
                  </w:tcBorders>
                  <w:noWrap w:val="0"/>
                  <w:vAlign w:val="center"/>
                </w:tcPr>
                <w:p w14:paraId="1732641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不涉及</w:t>
                  </w:r>
                </w:p>
              </w:tc>
            </w:tr>
            <w:tr w14:paraId="3F682A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FF01FB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2B25632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5.2.5</w:t>
                  </w:r>
                  <w:r>
                    <w:rPr>
                      <w:rFonts w:hint="default" w:ascii="Times New Roman" w:hAnsi="Times New Roman" w:eastAsia="宋体" w:cs="Times New Roman"/>
                      <w:color w:val="000000" w:themeColor="text1"/>
                      <w:sz w:val="21"/>
                      <w:szCs w:val="21"/>
                      <w:highlight w:val="none"/>
                      <w14:textFill>
                        <w14:solidFill>
                          <w14:schemeClr w14:val="tx1"/>
                        </w14:solidFill>
                      </w14:textFill>
                    </w:rPr>
                    <w:t>生产废水、废浆不宜用于制备预应力混凝土、装饰混凝土、高强混凝土和暴露于腐蚀环境的混凝土，不得用于制备使用碱活性或潜在碱活性骨料的混凝土</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0B9CC32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生产废水经沉淀处理后用作场站抑尘</w:t>
                  </w:r>
                  <w:r>
                    <w:rPr>
                      <w:rFonts w:hint="eastAsia" w:ascii="宋体" w:hAnsi="宋体" w:eastAsia="宋体"/>
                      <w:color w:val="000000" w:themeColor="text1"/>
                      <w:spacing w:val="-3"/>
                      <w:sz w:val="21"/>
                      <w:szCs w:val="24"/>
                      <w:highlight w:val="none"/>
                      <w:lang w:eastAsia="zh-CN"/>
                      <w14:textFill>
                        <w14:solidFill>
                          <w14:schemeClr w14:val="tx1"/>
                        </w14:solidFill>
                      </w14:textFill>
                    </w:rPr>
                    <w:t>及清洗用水</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。沉淀池</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（废浆）经设置压滤机脱水后，泥饼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本项目不使用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废水、</w:t>
                  </w:r>
                  <w:r>
                    <w:rPr>
                      <w:rFonts w:hint="default" w:ascii="Times New Roman" w:hAnsi="Times New Roman" w:eastAsia="宋体" w:cs="Times New Roman"/>
                      <w:color w:val="000000" w:themeColor="text1"/>
                      <w:sz w:val="21"/>
                      <w:szCs w:val="21"/>
                      <w:highlight w:val="none"/>
                      <w14:textFill>
                        <w14:solidFill>
                          <w14:schemeClr w14:val="tx1"/>
                        </w14:solidFill>
                      </w14:textFill>
                    </w:rPr>
                    <w:t>废浆进行回用生产。</w:t>
                  </w:r>
                </w:p>
              </w:tc>
              <w:tc>
                <w:tcPr>
                  <w:tcW w:w="789" w:type="dxa"/>
                  <w:tcBorders>
                    <w:tl2br w:val="nil"/>
                    <w:tr2bl w:val="nil"/>
                  </w:tcBorders>
                  <w:noWrap w:val="0"/>
                  <w:vAlign w:val="center"/>
                </w:tcPr>
                <w:p w14:paraId="316767E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符合</w:t>
                  </w:r>
                </w:p>
              </w:tc>
            </w:tr>
            <w:tr w14:paraId="069863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024345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13320F9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5.2.6</w:t>
                  </w:r>
                  <w:r>
                    <w:rPr>
                      <w:rFonts w:hint="default" w:ascii="Times New Roman" w:hAnsi="Times New Roman" w:eastAsia="宋体" w:cs="Times New Roman"/>
                      <w:color w:val="000000" w:themeColor="text1"/>
                      <w:sz w:val="21"/>
                      <w:szCs w:val="21"/>
                      <w:highlight w:val="none"/>
                      <w14:textFill>
                        <w14:solidFill>
                          <w14:schemeClr w14:val="tx1"/>
                        </w14:solidFill>
                      </w14:textFill>
                    </w:rPr>
                    <w:t>经沉淀或压滤处理的生产废水也可用于硬化地面降尘和生产设备冲洗</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2896" w:type="dxa"/>
                  <w:tcBorders>
                    <w:tl2br w:val="nil"/>
                    <w:tr2bl w:val="nil"/>
                  </w:tcBorders>
                  <w:noWrap w:val="0"/>
                  <w:vAlign w:val="center"/>
                </w:tcPr>
                <w:p w14:paraId="69A84A8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生产废水经沉淀处理后用作场站降尘用水。</w:t>
                  </w:r>
                </w:p>
              </w:tc>
              <w:tc>
                <w:tcPr>
                  <w:tcW w:w="789" w:type="dxa"/>
                  <w:tcBorders>
                    <w:tl2br w:val="nil"/>
                    <w:tr2bl w:val="nil"/>
                  </w:tcBorders>
                  <w:noWrap w:val="0"/>
                  <w:vAlign w:val="center"/>
                </w:tcPr>
                <w:p w14:paraId="15FEE77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符合</w:t>
                  </w:r>
                </w:p>
              </w:tc>
            </w:tr>
            <w:tr w14:paraId="4786BA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2B23E0F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5.3</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废弃混凝土</w:t>
                  </w:r>
                </w:p>
              </w:tc>
              <w:tc>
                <w:tcPr>
                  <w:tcW w:w="3613" w:type="dxa"/>
                  <w:tcBorders>
                    <w:tl2br w:val="nil"/>
                    <w:tr2bl w:val="nil"/>
                  </w:tcBorders>
                  <w:noWrap w:val="0"/>
                  <w:vAlign w:val="center"/>
                </w:tcPr>
                <w:p w14:paraId="3700E3F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5.3.1</w:t>
                  </w:r>
                  <w:r>
                    <w:rPr>
                      <w:rFonts w:hint="default" w:ascii="Times New Roman" w:hAnsi="Times New Roman" w:eastAsia="宋体" w:cs="Times New Roman"/>
                      <w:color w:val="000000" w:themeColor="text1"/>
                      <w:sz w:val="21"/>
                      <w:szCs w:val="21"/>
                      <w:highlight w:val="none"/>
                      <w14:textFill>
                        <w14:solidFill>
                          <w14:schemeClr w14:val="tx1"/>
                        </w14:solidFill>
                      </w14:textFill>
                    </w:rPr>
                    <w:t>废弃新拌混凝土可用于成型小型预制构件，也可采用砂石分离机进行处置。分离后的砂石应及时清理、分类使用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0346AD6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本项目</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废弃新拌混凝土通过砂石分离机处理</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，分离砂石</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回用于生产。</w:t>
                  </w:r>
                </w:p>
              </w:tc>
              <w:tc>
                <w:tcPr>
                  <w:tcW w:w="789" w:type="dxa"/>
                  <w:tcBorders>
                    <w:tl2br w:val="nil"/>
                    <w:tr2bl w:val="nil"/>
                  </w:tcBorders>
                  <w:noWrap w:val="0"/>
                  <w:vAlign w:val="center"/>
                </w:tcPr>
                <w:p w14:paraId="3EC48165">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46375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7BF2D35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379A11F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5.3.2</w:t>
                  </w:r>
                  <w:r>
                    <w:rPr>
                      <w:rFonts w:hint="default" w:ascii="Times New Roman" w:hAnsi="Times New Roman" w:eastAsia="宋体" w:cs="Times New Roman"/>
                      <w:color w:val="000000" w:themeColor="text1"/>
                      <w:sz w:val="21"/>
                      <w:szCs w:val="21"/>
                      <w:highlight w:val="none"/>
                      <w14:textFill>
                        <w14:solidFill>
                          <w14:schemeClr w14:val="tx1"/>
                        </w14:solidFill>
                      </w14:textFill>
                    </w:rPr>
                    <w:t>废弃硬化混凝土可生产再生骨料和粉料由预拌混凝土生产企业消纳利用，也可由其他固体废弃物再生利用机构消纳利用。</w:t>
                  </w:r>
                </w:p>
              </w:tc>
              <w:tc>
                <w:tcPr>
                  <w:tcW w:w="2896" w:type="dxa"/>
                  <w:tcBorders>
                    <w:tl2br w:val="nil"/>
                    <w:tr2bl w:val="nil"/>
                  </w:tcBorders>
                  <w:noWrap w:val="0"/>
                  <w:vAlign w:val="center"/>
                </w:tcPr>
                <w:p w14:paraId="2B887CD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项目</w:t>
                  </w:r>
                  <w:r>
                    <w:rPr>
                      <w:rFonts w:hint="default" w:ascii="Times New Roman" w:hAnsi="Times New Roman" w:eastAsia="宋体" w:cs="Times New Roman"/>
                      <w:color w:val="000000" w:themeColor="text1"/>
                      <w:sz w:val="21"/>
                      <w:szCs w:val="21"/>
                      <w:highlight w:val="none"/>
                      <w14:textFill>
                        <w14:solidFill>
                          <w14:schemeClr w14:val="tx1"/>
                        </w14:solidFill>
                      </w14:textFill>
                    </w:rPr>
                    <w:t>废弃硬化混凝土</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定期外运至G42线南充至成都段高速公路扩容工程弃渣场（经纬度：105.5903，30.6304）</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246586C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040E9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4B4AFC9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5.1</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噪声</w:t>
                  </w:r>
                </w:p>
              </w:tc>
              <w:tc>
                <w:tcPr>
                  <w:tcW w:w="3613" w:type="dxa"/>
                  <w:tcBorders>
                    <w:tl2br w:val="nil"/>
                    <w:tr2bl w:val="nil"/>
                  </w:tcBorders>
                  <w:noWrap w:val="0"/>
                  <w:vAlign w:val="center"/>
                </w:tcPr>
                <w:p w14:paraId="3976F3E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根据现行国家标准《声环境质量标准》GB3096和《工业企业厂界环境噪声排放标准》GB12348的规定以及规划确定厂界和厂区内声环境功能区类别，制订噪声区域方案和绘制噪声区划图，建立环境噪声监测网络与制度，评价和控制声环境质量</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508ABA9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根据本项目所在位置及外环境噪声敏感点分布关系，本项目噪声排放执行《工业企业厂界环境噪声排放标准》GB12348中的</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类标准</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0D7EE5F4">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4CD83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F9587E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4FF2A93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5.4.2搅拌站（楼）的厂界声功能区类别划分和环境噪声应符合表5.4.2（《声环境质量标准》中各声环境功能区类别规定的标准限值。</w:t>
                  </w:r>
                </w:p>
              </w:tc>
              <w:tc>
                <w:tcPr>
                  <w:tcW w:w="2896" w:type="dxa"/>
                  <w:tcBorders>
                    <w:tl2br w:val="nil"/>
                    <w:tr2bl w:val="nil"/>
                  </w:tcBorders>
                  <w:noWrap w:val="0"/>
                  <w:vAlign w:val="center"/>
                </w:tcPr>
                <w:p w14:paraId="1A8020D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本项目将主要产噪设备如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搅拌</w:t>
                  </w:r>
                  <w:r>
                    <w:rPr>
                      <w:rFonts w:hint="default" w:ascii="Times New Roman" w:hAnsi="Times New Roman" w:eastAsia="宋体" w:cs="Times New Roman"/>
                      <w:color w:val="000000" w:themeColor="text1"/>
                      <w:sz w:val="21"/>
                      <w:szCs w:val="21"/>
                      <w:highlight w:val="none"/>
                      <w14:textFill>
                        <w14:solidFill>
                          <w14:schemeClr w14:val="tx1"/>
                        </w14:solidFill>
                      </w14:textFill>
                    </w:rPr>
                    <w:t>楼等设备安装于密闭厂房内，</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安装在厂区中部远离周边敏感点</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减少对敏感点的影响</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根据噪声预测结果，本项目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运营过程中产生的噪声能够满足《工业企业厂界环境噪声排放标准》（GB12348-2008）</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类标准，</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敏感点声环境质量可</w:t>
                  </w:r>
                  <w:r>
                    <w:rPr>
                      <w:rFonts w:hint="default" w:ascii="Times New Roman" w:hAnsi="Times New Roman" w:eastAsia="宋体" w:cs="Times New Roman"/>
                      <w:color w:val="000000" w:themeColor="text1"/>
                      <w:sz w:val="21"/>
                      <w:szCs w:val="21"/>
                      <w:highlight w:val="none"/>
                      <w14:textFill>
                        <w14:solidFill>
                          <w14:schemeClr w14:val="tx1"/>
                        </w14:solidFill>
                      </w14:textFill>
                    </w:rPr>
                    <w:t>满足《声环境质量标准》(GB3096-2008)中2类标准</w:t>
                  </w:r>
                </w:p>
              </w:tc>
              <w:tc>
                <w:tcPr>
                  <w:tcW w:w="789" w:type="dxa"/>
                  <w:tcBorders>
                    <w:tl2br w:val="nil"/>
                    <w:tr2bl w:val="nil"/>
                  </w:tcBorders>
                  <w:noWrap w:val="0"/>
                  <w:vAlign w:val="center"/>
                </w:tcPr>
                <w:p w14:paraId="140FDFF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53FE7E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83EEEB7">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3613" w:type="dxa"/>
                  <w:tcBorders>
                    <w:tl2br w:val="nil"/>
                    <w:tr2bl w:val="nil"/>
                  </w:tcBorders>
                  <w:noWrap w:val="0"/>
                  <w:vAlign w:val="center"/>
                </w:tcPr>
                <w:p w14:paraId="0BA53D2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5.4.3</w:t>
                  </w:r>
                  <w:r>
                    <w:rPr>
                      <w:rFonts w:hint="default" w:ascii="Times New Roman" w:hAnsi="Times New Roman" w:eastAsia="宋体" w:cs="Times New Roman"/>
                      <w:color w:val="000000" w:themeColor="text1"/>
                      <w:sz w:val="21"/>
                      <w:szCs w:val="21"/>
                      <w:highlight w:val="none"/>
                      <w14:textFill>
                        <w14:solidFill>
                          <w14:schemeClr w14:val="tx1"/>
                        </w14:solidFill>
                      </w14:textFill>
                    </w:rPr>
                    <w:t>对产生噪声的主要设备设施应进行降噪处理</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67602A2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本项目选用低噪声设备，并对</w:t>
                  </w:r>
                  <w:r>
                    <w:rPr>
                      <w:rFonts w:hint="default" w:ascii="Times New Roman" w:hAnsi="Times New Roman" w:eastAsia="宋体" w:cs="Times New Roman"/>
                      <w:color w:val="000000" w:themeColor="text1"/>
                      <w:sz w:val="21"/>
                      <w:szCs w:val="21"/>
                      <w:highlight w:val="none"/>
                      <w14:textFill>
                        <w14:solidFill>
                          <w14:schemeClr w14:val="tx1"/>
                        </w14:solidFill>
                      </w14:textFill>
                    </w:rPr>
                    <w:t>产生噪声的主要设备设施</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进行基础减震等降噪措施，降低噪声影响</w:t>
                  </w:r>
                </w:p>
              </w:tc>
              <w:tc>
                <w:tcPr>
                  <w:tcW w:w="789" w:type="dxa"/>
                  <w:tcBorders>
                    <w:tl2br w:val="nil"/>
                    <w:tr2bl w:val="nil"/>
                  </w:tcBorders>
                  <w:noWrap w:val="0"/>
                  <w:vAlign w:val="center"/>
                </w:tcPr>
                <w:p w14:paraId="288E578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61613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92530D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3613" w:type="dxa"/>
                  <w:tcBorders>
                    <w:tl2br w:val="nil"/>
                    <w:tr2bl w:val="nil"/>
                  </w:tcBorders>
                  <w:noWrap w:val="0"/>
                  <w:vAlign w:val="center"/>
                </w:tcPr>
                <w:p w14:paraId="1F05DEC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5.4.4</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搅拌站(楼)临近居民区时，应在对应厂界安装隔音装置。</w:t>
                  </w:r>
                </w:p>
              </w:tc>
              <w:tc>
                <w:tcPr>
                  <w:tcW w:w="2896" w:type="dxa"/>
                  <w:tcBorders>
                    <w:tl2br w:val="nil"/>
                    <w:tr2bl w:val="nil"/>
                  </w:tcBorders>
                  <w:noWrap w:val="0"/>
                  <w:vAlign w:val="center"/>
                </w:tcPr>
                <w:p w14:paraId="0524744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本项目搅拌楼距离居民区较远，通过厂房隔声及距离衰减，噪声可达标排放。</w:t>
                  </w:r>
                </w:p>
              </w:tc>
              <w:tc>
                <w:tcPr>
                  <w:tcW w:w="789" w:type="dxa"/>
                  <w:tcBorders>
                    <w:tl2br w:val="nil"/>
                    <w:tr2bl w:val="nil"/>
                  </w:tcBorders>
                  <w:noWrap w:val="0"/>
                  <w:vAlign w:val="center"/>
                </w:tcPr>
                <w:p w14:paraId="70BD526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不涉及</w:t>
                  </w:r>
                </w:p>
              </w:tc>
            </w:tr>
            <w:tr w14:paraId="31FD5E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44EB6768">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5.5</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生产性粉尘</w:t>
                  </w:r>
                </w:p>
              </w:tc>
              <w:tc>
                <w:tcPr>
                  <w:tcW w:w="3613" w:type="dxa"/>
                  <w:tcBorders>
                    <w:tl2br w:val="nil"/>
                    <w:tr2bl w:val="nil"/>
                  </w:tcBorders>
                  <w:noWrap w:val="0"/>
                  <w:vAlign w:val="center"/>
                </w:tcPr>
                <w:p w14:paraId="6A9424F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5.5.1</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根据现行国家标准《环境空气质量标准》GB3095和《水泥工业大气污染物排放标准》GB4915的规定以及环境保护要求，确定厂界和厂区内环境空气功能区类别，制订厂区生产性粉尘监测点平面图，建立环境空气监测网络与制度，评价和控制厂区和厂界的环境空气质量。</w:t>
                  </w:r>
                </w:p>
              </w:tc>
              <w:tc>
                <w:tcPr>
                  <w:tcW w:w="2896" w:type="dxa"/>
                  <w:tcBorders>
                    <w:tl2br w:val="nil"/>
                    <w:tr2bl w:val="nil"/>
                  </w:tcBorders>
                  <w:noWrap w:val="0"/>
                  <w:vAlign w:val="center"/>
                </w:tcPr>
                <w:p w14:paraId="4BC11F1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本项目位于</w:t>
                  </w:r>
                  <w:r>
                    <w:rPr>
                      <w:rFonts w:hint="default" w:ascii="Times New Roman" w:hAnsi="Times New Roman" w:eastAsia="宋体" w:cs="Times New Roman"/>
                      <w:color w:val="000000" w:themeColor="text1"/>
                      <w:sz w:val="21"/>
                      <w:szCs w:val="21"/>
                      <w:highlight w:val="none"/>
                      <w14:textFill>
                        <w14:solidFill>
                          <w14:schemeClr w14:val="tx1"/>
                        </w14:solidFill>
                      </w14:textFill>
                    </w:rPr>
                    <w:t>《环境空气质量标准》GB3095</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中</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2类功能区，根据《</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遂宁</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市2020年环境质量报告》及</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现状监测，本项目所在区域环境空气质量满足《环境空气质量标准》（GB3095-2012）二级标准的要求，说明区域环境空气质量现状良好。</w:t>
                  </w:r>
                </w:p>
              </w:tc>
              <w:tc>
                <w:tcPr>
                  <w:tcW w:w="789" w:type="dxa"/>
                  <w:tcBorders>
                    <w:tl2br w:val="nil"/>
                    <w:tr2bl w:val="nil"/>
                  </w:tcBorders>
                  <w:noWrap w:val="0"/>
                  <w:vAlign w:val="center"/>
                </w:tcPr>
                <w:p w14:paraId="5C49A8E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0EFDAB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5E4E047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1158736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5.5.2</w:t>
                  </w:r>
                  <w:r>
                    <w:rPr>
                      <w:rFonts w:hint="default" w:ascii="Times New Roman" w:hAnsi="Times New Roman" w:eastAsia="宋体" w:cs="Times New Roman"/>
                      <w:color w:val="000000" w:themeColor="text1"/>
                      <w:sz w:val="21"/>
                      <w:szCs w:val="21"/>
                      <w:highlight w:val="none"/>
                      <w14:textFill>
                        <w14:solidFill>
                          <w14:schemeClr w14:val="tx1"/>
                        </w14:solidFill>
                      </w14:textFill>
                    </w:rPr>
                    <w:t>搅拌站(楼)厂界环境空气功能区类别划分和环境空气污染物中的总悬浮颗粒物、可吸入颗粒物和细颗粒物的浓度控制要求应符合：总悬浮颗粒物在农村地区的小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时</w:t>
                  </w:r>
                  <w:r>
                    <w:rPr>
                      <w:rFonts w:hint="default" w:ascii="Times New Roman" w:hAnsi="Times New Roman" w:eastAsia="宋体" w:cs="Times New Roman"/>
                      <w:color w:val="000000" w:themeColor="text1"/>
                      <w:sz w:val="21"/>
                      <w:szCs w:val="21"/>
                      <w:highlight w:val="none"/>
                      <w14:textFill>
                        <w14:solidFill>
                          <w14:schemeClr w14:val="tx1"/>
                        </w14:solidFill>
                      </w14:textFill>
                    </w:rPr>
                    <w:t>均值不超过300ug/m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，可吸入颗粒物在农村地区的小时均值不超过150ug/m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，细颗粒物在农村地区的小时均值不超过75ug/m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的规定。</w:t>
                  </w:r>
                </w:p>
              </w:tc>
              <w:tc>
                <w:tcPr>
                  <w:tcW w:w="2896" w:type="dxa"/>
                  <w:tcBorders>
                    <w:tl2br w:val="nil"/>
                    <w:tr2bl w:val="nil"/>
                  </w:tcBorders>
                  <w:noWrap w:val="0"/>
                  <w:vAlign w:val="center"/>
                </w:tcPr>
                <w:p w14:paraId="23546F8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运营期执行</w:t>
                  </w:r>
                  <w:r>
                    <w:rPr>
                      <w:rFonts w:hint="default" w:ascii="Times New Roman" w:hAnsi="Times New Roman" w:eastAsia="宋体" w:cs="Times New Roman"/>
                      <w:color w:val="000000" w:themeColor="text1"/>
                      <w:sz w:val="21"/>
                      <w:szCs w:val="21"/>
                      <w:highlight w:val="none"/>
                      <w14:textFill>
                        <w14:solidFill>
                          <w14:schemeClr w14:val="tx1"/>
                        </w14:solidFill>
                      </w14:textFill>
                    </w:rPr>
                    <w:t>总悬浮颗粒物小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时</w:t>
                  </w:r>
                  <w:r>
                    <w:rPr>
                      <w:rFonts w:hint="default" w:ascii="Times New Roman" w:hAnsi="Times New Roman" w:eastAsia="宋体" w:cs="Times New Roman"/>
                      <w:color w:val="000000" w:themeColor="text1"/>
                      <w:sz w:val="21"/>
                      <w:szCs w:val="21"/>
                      <w:highlight w:val="none"/>
                      <w14:textFill>
                        <w14:solidFill>
                          <w14:schemeClr w14:val="tx1"/>
                        </w14:solidFill>
                      </w14:textFill>
                    </w:rPr>
                    <w:t>均值不超过300ug/m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、可吸入颗粒物小时均值不超过150ug/m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，和细颗粒物的小时均值不超过75ug/m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的规定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532B6F3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A6301E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0378081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3B59AF4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5.5.4</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预拌混凝土绿色生产宜采取下列防尘技术措施：1、对产生粉尘排放的设备设施或场所进行封闭处理或安装除尘装置，2、采用低粉尘排放量的生产、运输和检测设备，3、利用喷淋装置对砂石进行预湿处理</w:t>
                  </w:r>
                </w:p>
              </w:tc>
              <w:tc>
                <w:tcPr>
                  <w:tcW w:w="2896" w:type="dxa"/>
                  <w:tcBorders>
                    <w:tl2br w:val="nil"/>
                    <w:tr2bl w:val="nil"/>
                  </w:tcBorders>
                  <w:noWrap w:val="0"/>
                  <w:vAlign w:val="center"/>
                </w:tcPr>
                <w:p w14:paraId="293B8F5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本项目对搅拌楼进行全密闭处理，砂石料堆仓修建三面围挡+彩钢顶棚并设喷雾抑尘装置，</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水泥筒仓</w:t>
                  </w:r>
                  <w:r>
                    <w:rPr>
                      <w:rFonts w:hint="default" w:ascii="Times New Roman" w:hAnsi="Times New Roman" w:eastAsia="宋体" w:cs="Times New Roman"/>
                      <w:color w:val="000000" w:themeColor="text1"/>
                      <w:sz w:val="21"/>
                      <w:szCs w:val="21"/>
                      <w:highlight w:val="none"/>
                      <w14:textFill>
                        <w14:solidFill>
                          <w14:schemeClr w14:val="tx1"/>
                        </w14:solidFill>
                      </w14:textFill>
                    </w:rPr>
                    <w:t>仓顶安装袋式除尘器，收集的粉尘全部回用，传送带均采用侧面围挡、顶部遮盖的形式设置，其余生产设备均使用低产尘量的设备，以降低</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粉</w:t>
                  </w:r>
                  <w:r>
                    <w:rPr>
                      <w:rFonts w:hint="default" w:ascii="Times New Roman" w:hAnsi="Times New Roman" w:eastAsia="宋体" w:cs="Times New Roman"/>
                      <w:color w:val="000000" w:themeColor="text1"/>
                      <w:sz w:val="21"/>
                      <w:szCs w:val="21"/>
                      <w:highlight w:val="none"/>
                      <w14:textFill>
                        <w14:solidFill>
                          <w14:schemeClr w14:val="tx1"/>
                        </w14:solidFill>
                      </w14:textFill>
                    </w:rPr>
                    <w:t>尘排放量</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6CACE70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CE8DB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restart"/>
                  <w:tcBorders>
                    <w:tl2br w:val="nil"/>
                    <w:tr2bl w:val="nil"/>
                  </w:tcBorders>
                  <w:noWrap w:val="0"/>
                  <w:vAlign w:val="center"/>
                </w:tcPr>
                <w:p w14:paraId="3F8023E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w:t>
                  </w:r>
                  <w:r>
                    <w:rPr>
                      <w:rFonts w:hint="default" w:ascii="Times New Roman" w:hAnsi="Times New Roman" w:eastAsia="宋体" w:cs="Times New Roman"/>
                      <w:color w:val="000000" w:themeColor="text1"/>
                      <w:sz w:val="21"/>
                      <w:szCs w:val="21"/>
                      <w:highlight w:val="none"/>
                      <w14:textFill>
                        <w14:solidFill>
                          <w14:schemeClr w14:val="tx1"/>
                        </w14:solidFill>
                      </w14:textFill>
                    </w:rPr>
                    <w:t>运输管理</w:t>
                  </w:r>
                </w:p>
              </w:tc>
              <w:tc>
                <w:tcPr>
                  <w:tcW w:w="3613" w:type="dxa"/>
                  <w:tcBorders>
                    <w:tl2br w:val="nil"/>
                    <w:tr2bl w:val="nil"/>
                  </w:tcBorders>
                  <w:noWrap w:val="0"/>
                  <w:vAlign w:val="center"/>
                </w:tcPr>
                <w:p w14:paraId="503AE5F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5.6.1</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运输车应达到当地机动车污染物排放标准要求，并应定期保养</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5E0E321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本项目原料、成品运输车均使用专用砂石、</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成品</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运输车，并定期保养</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191036E9">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53F6D1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6A5C92A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color w:val="000000" w:themeColor="text1"/>
                      <w:highlight w:val="none"/>
                      <w14:textFill>
                        <w14:solidFill>
                          <w14:schemeClr w14:val="tx1"/>
                        </w14:solidFill>
                      </w14:textFill>
                    </w:rPr>
                  </w:pPr>
                </w:p>
              </w:tc>
              <w:tc>
                <w:tcPr>
                  <w:tcW w:w="3613" w:type="dxa"/>
                  <w:tcBorders>
                    <w:tl2br w:val="nil"/>
                    <w:tr2bl w:val="nil"/>
                  </w:tcBorders>
                  <w:noWrap w:val="0"/>
                  <w:vAlign w:val="center"/>
                </w:tcPr>
                <w:p w14:paraId="72313F57">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5.6.2</w:t>
                  </w:r>
                  <w:r>
                    <w:rPr>
                      <w:rFonts w:hint="default" w:ascii="Times New Roman" w:hAnsi="Times New Roman" w:eastAsia="宋体" w:cs="Times New Roman"/>
                      <w:color w:val="000000" w:themeColor="text1"/>
                      <w:sz w:val="21"/>
                      <w:szCs w:val="21"/>
                      <w:highlight w:val="none"/>
                      <w14:textFill>
                        <w14:solidFill>
                          <w14:schemeClr w14:val="tx1"/>
                        </w14:solidFill>
                      </w14:textFill>
                    </w:rPr>
                    <w:t>原材料和产品运输过程应保持清洁卫生，符合环境卫生要求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7FF94DC8">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1"/>
                      <w:szCs w:val="21"/>
                      <w:highlight w:val="none"/>
                      <w14:textFill>
                        <w14:solidFill>
                          <w14:schemeClr w14:val="tx1"/>
                        </w14:solidFill>
                      </w14:textFill>
                    </w:rPr>
                    <w:t>原材料及产品运输车</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进出场地均进行车辆冲洗，</w:t>
                  </w:r>
                  <w:r>
                    <w:rPr>
                      <w:rFonts w:hint="default" w:ascii="Times New Roman" w:hAnsi="Times New Roman" w:eastAsia="宋体" w:cs="Times New Roman"/>
                      <w:color w:val="000000" w:themeColor="text1"/>
                      <w:sz w:val="21"/>
                      <w:szCs w:val="21"/>
                      <w:highlight w:val="none"/>
                      <w14:textFill>
                        <w14:solidFill>
                          <w14:schemeClr w14:val="tx1"/>
                        </w14:solidFill>
                      </w14:textFill>
                    </w:rPr>
                    <w:t>运输过程中均可保持清洁，符合环境卫生要求</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115405BF">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70DCE0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3ABBAD1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0C457CB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5.6.3</w:t>
                  </w:r>
                  <w:r>
                    <w:rPr>
                      <w:rFonts w:hint="default" w:ascii="Times New Roman" w:hAnsi="Times New Roman" w:eastAsia="宋体" w:cs="Times New Roman"/>
                      <w:color w:val="000000" w:themeColor="text1"/>
                      <w:sz w:val="21"/>
                      <w:szCs w:val="21"/>
                      <w:highlight w:val="none"/>
                      <w14:textFill>
                        <w14:solidFill>
                          <w14:schemeClr w14:val="tx1"/>
                        </w14:solidFill>
                      </w14:textFill>
                    </w:rPr>
                    <w:t>预拌混凝土绿色生产应制定运输管理制度，并应合理指挥调度车辆，且宜采用定位系统监控车辆运行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36681F5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本项目运营期将</w:t>
                  </w:r>
                  <w:r>
                    <w:rPr>
                      <w:rFonts w:hint="default" w:ascii="Times New Roman" w:hAnsi="Times New Roman" w:eastAsia="宋体" w:cs="Times New Roman"/>
                      <w:color w:val="000000" w:themeColor="text1"/>
                      <w:sz w:val="21"/>
                      <w:szCs w:val="21"/>
                      <w:highlight w:val="none"/>
                      <w14:textFill>
                        <w14:solidFill>
                          <w14:schemeClr w14:val="tx1"/>
                        </w14:solidFill>
                      </w14:textFill>
                    </w:rPr>
                    <w:t>制定运输管理制度，并合理指挥调度车辆</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89" w:type="dxa"/>
                  <w:tcBorders>
                    <w:tl2br w:val="nil"/>
                    <w:tr2bl w:val="nil"/>
                  </w:tcBorders>
                  <w:noWrap w:val="0"/>
                  <w:vAlign w:val="center"/>
                </w:tcPr>
                <w:p w14:paraId="797AC17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151CE8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 w:type="dxa"/>
                  <w:vMerge w:val="continue"/>
                  <w:tcBorders>
                    <w:tl2br w:val="nil"/>
                    <w:tr2bl w:val="nil"/>
                  </w:tcBorders>
                  <w:noWrap w:val="0"/>
                  <w:vAlign w:val="center"/>
                </w:tcPr>
                <w:p w14:paraId="2981431E">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613" w:type="dxa"/>
                  <w:tcBorders>
                    <w:tl2br w:val="nil"/>
                    <w:tr2bl w:val="nil"/>
                  </w:tcBorders>
                  <w:noWrap w:val="0"/>
                  <w:vAlign w:val="center"/>
                </w:tcPr>
                <w:p w14:paraId="4EFFD98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5.6.4</w:t>
                  </w:r>
                  <w:r>
                    <w:rPr>
                      <w:rFonts w:hint="default" w:ascii="Times New Roman" w:hAnsi="Times New Roman" w:eastAsia="宋体" w:cs="Times New Roman"/>
                      <w:color w:val="000000" w:themeColor="text1"/>
                      <w:sz w:val="21"/>
                      <w:szCs w:val="21"/>
                      <w:highlight w:val="none"/>
                      <w14:textFill>
                        <w14:solidFill>
                          <w14:schemeClr w14:val="tx1"/>
                        </w14:solidFill>
                      </w14:textFill>
                    </w:rPr>
                    <w:t>冲洗运输车辆宜使用循环水，冲洗运输车产生的废水可进入废水回收利用设施</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2896" w:type="dxa"/>
                  <w:tcBorders>
                    <w:tl2br w:val="nil"/>
                    <w:tr2bl w:val="nil"/>
                  </w:tcBorders>
                  <w:noWrap w:val="0"/>
                  <w:vAlign w:val="center"/>
                </w:tcPr>
                <w:p w14:paraId="0D44D8B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本项目在厂区进出口设置车辆清洗平台，平台旁设置车辆清洗废水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，收集车辆清洗废水后</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w:t>
                  </w:r>
                  <w:r>
                    <w:rPr>
                      <w:rFonts w:hint="default" w:ascii="Times New Roman" w:hAnsi="Times New Roman" w:eastAsia="宋体" w:cs="Times New Roman"/>
                      <w:color w:val="000000" w:themeColor="text1"/>
                      <w:sz w:val="21"/>
                      <w:szCs w:val="21"/>
                      <w:highlight w:val="none"/>
                      <w14:textFill>
                        <w14:solidFill>
                          <w14:schemeClr w14:val="tx1"/>
                        </w14:solidFill>
                      </w14:textFill>
                    </w:rPr>
                    <w:t>沉淀回用，不外排。</w:t>
                  </w:r>
                </w:p>
              </w:tc>
              <w:tc>
                <w:tcPr>
                  <w:tcW w:w="789" w:type="dxa"/>
                  <w:tcBorders>
                    <w:tl2br w:val="nil"/>
                    <w:tr2bl w:val="nil"/>
                  </w:tcBorders>
                  <w:noWrap w:val="0"/>
                  <w:vAlign w:val="center"/>
                </w:tcPr>
                <w:p w14:paraId="757962CE">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bl>
          <w:p w14:paraId="01EBDCE2">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w:t>
            </w:r>
            <w:r>
              <w:rPr>
                <w:rFonts w:hint="eastAsia" w:eastAsia="宋体"/>
                <w:color w:val="000000" w:themeColor="text1"/>
                <w:kern w:val="2"/>
                <w:highlight w:val="none"/>
                <w14:textFill>
                  <w14:solidFill>
                    <w14:schemeClr w14:val="tx1"/>
                  </w14:solidFill>
                </w14:textFill>
              </w:rPr>
              <w:t>，本项目符合《预拌混凝土绿色生产及管理技术规程》（JGJ/T328-2014）相关要求。</w:t>
            </w:r>
          </w:p>
          <w:p w14:paraId="13E3607A">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bCs/>
                <w:color w:val="000000" w:themeColor="text1"/>
                <w:kern w:val="2"/>
                <w:highlight w:val="none"/>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六</w:t>
            </w:r>
            <w:r>
              <w:rPr>
                <w:rFonts w:hint="eastAsia" w:eastAsia="宋体"/>
                <w:b/>
                <w:bCs/>
                <w:color w:val="000000" w:themeColor="text1"/>
                <w:kern w:val="2"/>
                <w:highlight w:val="none"/>
                <w14:textFill>
                  <w14:solidFill>
                    <w14:schemeClr w14:val="tx1"/>
                  </w14:solidFill>
                </w14:textFill>
              </w:rPr>
              <w:t>、与《四川省绿色环保搅拌站建设、管理和评价标准》（DBJ51/T104-2018）符合性分析</w:t>
            </w:r>
          </w:p>
          <w:p w14:paraId="41004416">
            <w:pPr>
              <w:pStyle w:val="41"/>
              <w:keepNext w:val="0"/>
              <w:keepLines w:val="0"/>
              <w:pageBreakBefore w:val="0"/>
              <w:widowControl w:val="0"/>
              <w:kinsoku/>
              <w:wordWrap w:val="0"/>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对照《四川省绿色环保搅拌站建设、管理和评价标准》（DBJ51/T104-2018），本项目与相关要求符合性见下表。</w:t>
            </w:r>
          </w:p>
          <w:p w14:paraId="4BBEDFB5">
            <w:pPr>
              <w:spacing w:line="360" w:lineRule="atLeast"/>
              <w:ind w:firstLine="422" w:firstLineChars="200"/>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表1-</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5</w:t>
            </w:r>
            <w:r>
              <w:rPr>
                <w:rFonts w:ascii="Times New Roman" w:hAnsi="Times New Roman" w:eastAsia="宋体"/>
                <w:b/>
                <w:bCs/>
                <w:color w:val="000000" w:themeColor="text1"/>
                <w:szCs w:val="21"/>
                <w:highlight w:val="none"/>
                <w14:textFill>
                  <w14:solidFill>
                    <w14:schemeClr w14:val="tx1"/>
                  </w14:solidFill>
                </w14:textFill>
              </w:rPr>
              <w:t xml:space="preserve">   与《四川省绿色环保搅拌站建设、管理和评价标准》符合性分析</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99"/>
              <w:gridCol w:w="3372"/>
              <w:gridCol w:w="3158"/>
              <w:gridCol w:w="769"/>
            </w:tblGrid>
            <w:tr w14:paraId="5CC1DA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56AF76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序号</w:t>
                  </w:r>
                </w:p>
              </w:tc>
              <w:tc>
                <w:tcPr>
                  <w:tcW w:w="2162" w:type="pct"/>
                  <w:vAlign w:val="center"/>
                </w:tcPr>
                <w:p w14:paraId="39EE9E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标准要求</w:t>
                  </w:r>
                </w:p>
              </w:tc>
              <w:tc>
                <w:tcPr>
                  <w:tcW w:w="2024" w:type="pct"/>
                  <w:vAlign w:val="center"/>
                </w:tcPr>
                <w:p w14:paraId="3A680F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本项目</w:t>
                  </w:r>
                  <w:r>
                    <w:rPr>
                      <w:rFonts w:hint="eastAsia" w:ascii="Times New Roman" w:hAnsi="Times New Roman" w:eastAsia="宋体"/>
                      <w:b/>
                      <w:bCs/>
                      <w:color w:val="000000" w:themeColor="text1"/>
                      <w:szCs w:val="21"/>
                      <w:highlight w:val="none"/>
                      <w14:textFill>
                        <w14:solidFill>
                          <w14:schemeClr w14:val="tx1"/>
                        </w14:solidFill>
                      </w14:textFill>
                    </w:rPr>
                    <w:t>情况</w:t>
                  </w:r>
                </w:p>
              </w:tc>
              <w:tc>
                <w:tcPr>
                  <w:tcW w:w="493" w:type="pct"/>
                  <w:vAlign w:val="center"/>
                </w:tcPr>
                <w:p w14:paraId="1803AD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符合性</w:t>
                  </w:r>
                </w:p>
              </w:tc>
            </w:tr>
            <w:tr w14:paraId="378C23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3B6E00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1总则</w:t>
                  </w:r>
                </w:p>
              </w:tc>
              <w:tc>
                <w:tcPr>
                  <w:tcW w:w="2162" w:type="pct"/>
                  <w:vAlign w:val="center"/>
                </w:tcPr>
                <w:p w14:paraId="7967E1E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1.0.3预拌混凝土搅拌站年产能规模应不小于3×10</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m</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。预拌砂浆搅拌站的湿拌砂浆年产能规模应不小于2×10</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m</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b w:val="0"/>
                      <w:bCs w:val="0"/>
                      <w:color w:val="000000" w:themeColor="text1"/>
                      <w:szCs w:val="21"/>
                      <w:highlight w:val="none"/>
                      <w:vertAlign w:val="baseline"/>
                      <w:lang w:val="en-US" w:eastAsia="zh-CN"/>
                      <w14:textFill>
                        <w14:solidFill>
                          <w14:schemeClr w14:val="tx1"/>
                        </w14:solidFill>
                      </w14:textFill>
                    </w:rPr>
                    <w:t>，</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干混砂浆年产能规模应不小于3×10</w:t>
                  </w:r>
                  <w:r>
                    <w:rPr>
                      <w:rFonts w:hint="eastAsia" w:ascii="Times New Roman" w:hAnsi="Times New Roman" w:eastAsia="宋体"/>
                      <w:b w:val="0"/>
                      <w:bCs w:val="0"/>
                      <w:color w:val="000000" w:themeColor="text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t。搅拌站的年产能规模与生产线应相协调一致。</w:t>
                  </w:r>
                </w:p>
              </w:tc>
              <w:tc>
                <w:tcPr>
                  <w:tcW w:w="2024" w:type="pct"/>
                  <w:vAlign w:val="center"/>
                </w:tcPr>
                <w:p w14:paraId="5E1A0FA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 w:val="21"/>
                      <w:szCs w:val="21"/>
                      <w:highlight w:val="none"/>
                      <w:lang w:eastAsia="zh-CN"/>
                      <w14:textFill>
                        <w14:solidFill>
                          <w14:schemeClr w14:val="tx1"/>
                        </w14:solidFill>
                      </w14:textFill>
                    </w:rPr>
                    <w:t>本项目属于临时</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预拌混凝土搅拌站，</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1#机组生产拌和能力为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90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/h、2#机组生产拌和能力为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90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/h。</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根据施工调度进行适应性生产，总产能3</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×10</w:t>
                  </w:r>
                  <w:r>
                    <w:rPr>
                      <w:rFonts w:hint="eastAsia" w:ascii="Times New Roman" w:hAnsi="Times New Roman" w:eastAsia="宋体"/>
                      <w:b w:val="0"/>
                      <w:bCs w:val="0"/>
                      <w:color w:val="000000" w:themeColor="text1"/>
                      <w:sz w:val="21"/>
                      <w:szCs w:val="21"/>
                      <w:highlight w:val="none"/>
                      <w:vertAlign w:val="superscript"/>
                      <w:lang w:val="en-US" w:eastAsia="zh-CN"/>
                      <w14:textFill>
                        <w14:solidFill>
                          <w14:schemeClr w14:val="tx1"/>
                        </w14:solidFill>
                      </w14:textFill>
                    </w:rPr>
                    <w:t>5</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m</w:t>
                  </w:r>
                  <w:r>
                    <w:rPr>
                      <w:rFonts w:hint="eastAsia" w:ascii="Times New Roman" w:hAnsi="Times New Roman" w:eastAsia="宋体"/>
                      <w:b w:val="0"/>
                      <w:bCs w:val="0"/>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b w:val="0"/>
                      <w:bCs w:val="0"/>
                      <w:color w:val="000000" w:themeColor="text1"/>
                      <w:sz w:val="21"/>
                      <w:szCs w:val="21"/>
                      <w:highlight w:val="none"/>
                      <w:lang w:val="en-US" w:eastAsia="zh-CN"/>
                      <w14:textFill>
                        <w14:solidFill>
                          <w14:schemeClr w14:val="tx1"/>
                        </w14:solidFill>
                      </w14:textFill>
                    </w:rPr>
                    <w:t>。</w:t>
                  </w:r>
                </w:p>
              </w:tc>
              <w:tc>
                <w:tcPr>
                  <w:tcW w:w="493" w:type="pct"/>
                  <w:vAlign w:val="center"/>
                </w:tcPr>
                <w:p w14:paraId="18FAB0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 w:val="21"/>
                      <w:szCs w:val="21"/>
                      <w:highlight w:val="none"/>
                      <w:lang w:eastAsia="zh-CN"/>
                      <w14:textFill>
                        <w14:solidFill>
                          <w14:schemeClr w14:val="tx1"/>
                        </w14:solidFill>
                      </w14:textFill>
                    </w:rPr>
                    <w:t>不冲突</w:t>
                  </w:r>
                </w:p>
              </w:tc>
            </w:tr>
            <w:tr w14:paraId="30A0CA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restart"/>
                  <w:vAlign w:val="center"/>
                </w:tcPr>
                <w:p w14:paraId="66B398E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3基本规定</w:t>
                  </w:r>
                </w:p>
              </w:tc>
              <w:tc>
                <w:tcPr>
                  <w:tcW w:w="2162" w:type="pct"/>
                  <w:vAlign w:val="center"/>
                </w:tcPr>
                <w:p w14:paraId="1E46254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3.0.3搅拌站的机械与设备应完善、齐备，应选用技术先进、低能耗、低排放、低噪声且不应属于国家和四川省限制和淘汰的类别。</w:t>
                  </w:r>
                </w:p>
              </w:tc>
              <w:tc>
                <w:tcPr>
                  <w:tcW w:w="2024" w:type="pct"/>
                  <w:vAlign w:val="center"/>
                </w:tcPr>
                <w:p w14:paraId="2FD6B79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经核实，本项目</w:t>
                  </w: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机械与设备完善、齐备</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，均选用</w:t>
                  </w: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技术先进、低能耗、低排放、低噪声</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设置，均不属于</w:t>
                  </w:r>
                  <w:r>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t>国家和四川省限制和淘汰的类别</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w:t>
                  </w:r>
                </w:p>
              </w:tc>
              <w:tc>
                <w:tcPr>
                  <w:tcW w:w="493" w:type="pct"/>
                  <w:vAlign w:val="center"/>
                </w:tcPr>
                <w:p w14:paraId="27F3FD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7E07FB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420FFB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0240E68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3.0.4搅拌站使用的水泥必须全部为散装水泥。散装水泥进入搅拌站及使用过程中采取的装卸、转运、储存及使用的设施和场所，应符合安全与环境保护的要求。</w:t>
                  </w:r>
                </w:p>
              </w:tc>
              <w:tc>
                <w:tcPr>
                  <w:tcW w:w="2024" w:type="pct"/>
                  <w:vAlign w:val="center"/>
                </w:tcPr>
                <w:p w14:paraId="16C7C32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本项目运营期采用罐车拉运散装水泥，不使用袋装水泥。水泥通过运输车与相应料筒管道封闭直连，以压缩空气吹入形式进入相应储料罐，然后采取封闭螺旋输送机进行计量给料。</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符合安全与环境保护的要求。</w:t>
                  </w:r>
                </w:p>
              </w:tc>
              <w:tc>
                <w:tcPr>
                  <w:tcW w:w="493" w:type="pct"/>
                  <w:vAlign w:val="center"/>
                </w:tcPr>
                <w:p w14:paraId="6642BD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612867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268131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43C0736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3.0.5预拌混凝土、预拌砂浆产品质量应符合国家和四川省现行有关标准的规定。</w:t>
                  </w:r>
                </w:p>
              </w:tc>
              <w:tc>
                <w:tcPr>
                  <w:tcW w:w="2024" w:type="pct"/>
                  <w:vAlign w:val="center"/>
                </w:tcPr>
                <w:p w14:paraId="3BF1269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本项目生产混凝土满足《预拌混凝土》（GB/T14902-2012）质量标准要求。</w:t>
                  </w:r>
                </w:p>
              </w:tc>
              <w:tc>
                <w:tcPr>
                  <w:tcW w:w="493" w:type="pct"/>
                  <w:vAlign w:val="center"/>
                </w:tcPr>
                <w:p w14:paraId="1DA5F0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4B95F9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15D9021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5E89E88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3.0.6搅拌站的水、电、气等计量装置应齐全，且能符合生产区分级计量、生活区单独计量和运行正常的要求。在有条件的地区，应尽可能使用清洁能源。</w:t>
                  </w:r>
                </w:p>
              </w:tc>
              <w:tc>
                <w:tcPr>
                  <w:tcW w:w="2024" w:type="pct"/>
                  <w:vAlign w:val="center"/>
                </w:tcPr>
                <w:p w14:paraId="0474E052">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本项目场站内</w:t>
                  </w: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水、电、气等计量装置应齐全，且能符合生产区分级计量、生活区单独计量和运行正常的要求。</w:t>
                  </w:r>
                </w:p>
              </w:tc>
              <w:tc>
                <w:tcPr>
                  <w:tcW w:w="493" w:type="pct"/>
                  <w:vAlign w:val="center"/>
                </w:tcPr>
                <w:p w14:paraId="5EF500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6B24C9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restart"/>
                  <w:vAlign w:val="center"/>
                </w:tcPr>
                <w:p w14:paraId="71DA75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4站区布局与设备设施</w:t>
                  </w:r>
                </w:p>
              </w:tc>
              <w:tc>
                <w:tcPr>
                  <w:tcW w:w="2162" w:type="pct"/>
                  <w:vAlign w:val="center"/>
                </w:tcPr>
                <w:p w14:paraId="54F1527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4.1.1</w:t>
                  </w:r>
                  <w:r>
                    <w:rPr>
                      <w:rFonts w:ascii="Times New Roman" w:hAnsi="Times New Roman" w:eastAsia="宋体"/>
                      <w:color w:val="000000" w:themeColor="text1"/>
                      <w:szCs w:val="21"/>
                      <w:highlight w:val="none"/>
                      <w14:textFill>
                        <w14:solidFill>
                          <w14:schemeClr w14:val="tx1"/>
                        </w14:solidFill>
                      </w14:textFill>
                    </w:rPr>
                    <w:t>搅拌站的布局建设不应在风景名胜区、生态保护区、自然和文化遗产保护区、饮用水源保护区、城市建成区或非工业规划区内，不应破坏所在地区的自然风貌和生态环境。</w:t>
                  </w:r>
                </w:p>
              </w:tc>
              <w:tc>
                <w:tcPr>
                  <w:tcW w:w="2024" w:type="pct"/>
                  <w:vAlign w:val="center"/>
                </w:tcPr>
                <w:p w14:paraId="61CA53E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项目位于</w:t>
                  </w:r>
                  <w:r>
                    <w:rPr>
                      <w:rFonts w:hint="eastAsia" w:ascii="Times New Roman" w:hAnsi="Times New Roman" w:eastAsia="宋体"/>
                      <w:color w:val="000000" w:themeColor="text1"/>
                      <w:szCs w:val="21"/>
                      <w:highlight w:val="none"/>
                      <w14:textFill>
                        <w14:solidFill>
                          <w14:schemeClr w14:val="tx1"/>
                        </w14:solidFill>
                      </w14:textFill>
                    </w:rPr>
                    <w:t>蓬溪县经济开发区莲花社区一组</w:t>
                  </w:r>
                  <w:r>
                    <w:rPr>
                      <w:rFonts w:ascii="Times New Roman" w:hAnsi="Times New Roman" w:eastAsia="宋体"/>
                      <w:color w:val="000000" w:themeColor="text1"/>
                      <w:szCs w:val="21"/>
                      <w:highlight w:val="none"/>
                      <w14:textFill>
                        <w14:solidFill>
                          <w14:schemeClr w14:val="tx1"/>
                        </w14:solidFill>
                      </w14:textFill>
                    </w:rPr>
                    <w:t>，不属于风景名胜区、生态保护区、自然和文化遗产保护区、饮用水源保护区；</w:t>
                  </w:r>
                  <w:r>
                    <w:rPr>
                      <w:rFonts w:hint="eastAsia" w:ascii="Times New Roman" w:hAnsi="Times New Roman" w:eastAsia="宋体"/>
                      <w:color w:val="000000" w:themeColor="text1"/>
                      <w:szCs w:val="21"/>
                      <w:highlight w:val="none"/>
                      <w14:textFill>
                        <w14:solidFill>
                          <w14:schemeClr w14:val="tx1"/>
                        </w14:solidFill>
                      </w14:textFill>
                    </w:rPr>
                    <w:t>项目</w:t>
                  </w:r>
                  <w:r>
                    <w:rPr>
                      <w:rFonts w:hint="eastAsia" w:ascii="Times New Roman" w:hAnsi="Times New Roman" w:eastAsia="宋体"/>
                      <w:color w:val="000000" w:themeColor="text1"/>
                      <w:szCs w:val="21"/>
                      <w:highlight w:val="none"/>
                      <w:lang w:eastAsia="zh-CN"/>
                      <w14:textFill>
                        <w14:solidFill>
                          <w14:schemeClr w14:val="tx1"/>
                        </w14:solidFill>
                      </w14:textFill>
                    </w:rPr>
                    <w:t>工业园区内</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用地性质为工业用地，</w:t>
                  </w:r>
                  <w:r>
                    <w:rPr>
                      <w:rFonts w:hint="eastAsia" w:ascii="Times New Roman" w:hAnsi="Times New Roman" w:eastAsia="宋体"/>
                      <w:color w:val="000000" w:themeColor="text1"/>
                      <w:szCs w:val="21"/>
                      <w:highlight w:val="none"/>
                      <w14:textFill>
                        <w14:solidFill>
                          <w14:schemeClr w14:val="tx1"/>
                        </w14:solidFill>
                      </w14:textFill>
                    </w:rPr>
                    <w:t>且本项目属于临时工程，待项目服务期满后进行迹地恢复，</w:t>
                  </w:r>
                  <w:r>
                    <w:rPr>
                      <w:rFonts w:ascii="Times New Roman" w:hAnsi="Times New Roman" w:eastAsia="宋体"/>
                      <w:color w:val="000000" w:themeColor="text1"/>
                      <w:szCs w:val="21"/>
                      <w:highlight w:val="none"/>
                      <w14:textFill>
                        <w14:solidFill>
                          <w14:schemeClr w14:val="tx1"/>
                        </w14:solidFill>
                      </w14:textFill>
                    </w:rPr>
                    <w:t>不</w:t>
                  </w:r>
                  <w:r>
                    <w:rPr>
                      <w:rFonts w:hint="eastAsia" w:ascii="Times New Roman" w:hAnsi="Times New Roman" w:eastAsia="宋体"/>
                      <w:color w:val="000000" w:themeColor="text1"/>
                      <w:szCs w:val="21"/>
                      <w:highlight w:val="none"/>
                      <w14:textFill>
                        <w14:solidFill>
                          <w14:schemeClr w14:val="tx1"/>
                        </w14:solidFill>
                      </w14:textFill>
                    </w:rPr>
                    <w:t>会</w:t>
                  </w:r>
                  <w:r>
                    <w:rPr>
                      <w:rFonts w:ascii="Times New Roman" w:hAnsi="Times New Roman" w:eastAsia="宋体"/>
                      <w:color w:val="000000" w:themeColor="text1"/>
                      <w:szCs w:val="21"/>
                      <w:highlight w:val="none"/>
                      <w14:textFill>
                        <w14:solidFill>
                          <w14:schemeClr w14:val="tx1"/>
                        </w14:solidFill>
                      </w14:textFill>
                    </w:rPr>
                    <w:t>破坏所在地区的自然风貌和生态环境。</w:t>
                  </w:r>
                </w:p>
              </w:tc>
              <w:tc>
                <w:tcPr>
                  <w:tcW w:w="493" w:type="pct"/>
                  <w:vAlign w:val="center"/>
                </w:tcPr>
                <w:p w14:paraId="2D9FF6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r w14:paraId="62F82E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510DD8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4BC54AE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4.1.2搅拌站的站区面积应与搅拌站的生产规划产能相适应。站区内的生产、办公、生活及其他必要的设施应布局合理，功能分区明确，易于运营管理。</w:t>
                  </w:r>
                </w:p>
              </w:tc>
              <w:tc>
                <w:tcPr>
                  <w:tcW w:w="2024" w:type="pct"/>
                  <w:vAlign w:val="center"/>
                </w:tcPr>
                <w:p w14:paraId="440056D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本项目场站内</w:t>
                  </w: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生产区、办公区和生活区分区布置</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于拌和区内设置办公区及实验室进行生产调度及产品检验</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碎石加工区、水稳站、拌合区、钢筋加工区、制梁区域分别设置独立封闭加工车间，有效降低粉尘、噪声对办公区影响。</w:t>
                  </w:r>
                </w:p>
              </w:tc>
              <w:tc>
                <w:tcPr>
                  <w:tcW w:w="493" w:type="pct"/>
                  <w:vAlign w:val="center"/>
                </w:tcPr>
                <w:p w14:paraId="2AC8405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eastAsia"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4956E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64E5EF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p>
              </w:tc>
              <w:tc>
                <w:tcPr>
                  <w:tcW w:w="2162" w:type="pct"/>
                  <w:vAlign w:val="center"/>
                </w:tcPr>
                <w:p w14:paraId="560928F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4.1.3站区中的给排水系统、供电供气系统及道路系统布局，应与周边已有的排水系统、供电供气系统及道路系统要严格区分并形成有效的衔接，避免废水混淆外排。</w:t>
                  </w:r>
                </w:p>
              </w:tc>
              <w:tc>
                <w:tcPr>
                  <w:tcW w:w="2024" w:type="pct"/>
                  <w:vAlign w:val="center"/>
                </w:tcPr>
                <w:p w14:paraId="52B7B35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拌和区及料仓周边设置废水收集沟，连通至</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五级</w:t>
                  </w:r>
                  <w:r>
                    <w:rPr>
                      <w:rFonts w:hint="default" w:ascii="Times New Roman" w:hAnsi="Times New Roman" w:eastAsia="宋体" w:cs="Times New Roman"/>
                      <w:color w:val="000000" w:themeColor="text1"/>
                      <w:sz w:val="21"/>
                      <w:szCs w:val="21"/>
                      <w:highlight w:val="none"/>
                      <w14:textFill>
                        <w14:solidFill>
                          <w14:schemeClr w14:val="tx1"/>
                        </w14:solidFill>
                      </w14:textFill>
                    </w:rPr>
                    <w:t>沉淀池</w:t>
                  </w:r>
                  <w:r>
                    <w:rPr>
                      <w:rFonts w:hint="eastAsia" w:ascii="Times New Roman" w:hAnsi="Times New Roman" w:eastAsia="宋体" w:cs="Times New Roman"/>
                      <w:strike w:val="0"/>
                      <w:dstrike w:val="0"/>
                      <w:color w:val="000000" w:themeColor="text1"/>
                      <w:sz w:val="21"/>
                      <w:szCs w:val="21"/>
                      <w:highlight w:val="none"/>
                      <w:lang w:eastAsia="zh-CN"/>
                      <w14:textFill>
                        <w14:solidFill>
                          <w14:schemeClr w14:val="tx1"/>
                        </w14:solidFill>
                      </w14:textFill>
                    </w:rPr>
                    <w:t>；道路及场站边界设置雨水收集沟连通至</w:t>
                  </w:r>
                  <w:r>
                    <w:rPr>
                      <w:rFonts w:hint="default" w:ascii="Times New Roman" w:hAnsi="Times New Roman" w:eastAsia="宋体" w:cs="Times New Roman"/>
                      <w:strike w:val="0"/>
                      <w:dstrike w:val="0"/>
                      <w:color w:val="000000" w:themeColor="text1"/>
                      <w:sz w:val="21"/>
                      <w:szCs w:val="21"/>
                      <w:highlight w:val="none"/>
                      <w:lang w:val="en-US" w:eastAsia="zh-CN"/>
                      <w14:textFill>
                        <w14:solidFill>
                          <w14:schemeClr w14:val="tx1"/>
                        </w14:solidFill>
                      </w14:textFill>
                    </w:rPr>
                    <w:t>雨水收集池</w:t>
                  </w:r>
                  <w:r>
                    <w:rPr>
                      <w:rFonts w:hint="eastAsia" w:ascii="Times New Roman" w:hAnsi="Times New Roman" w:eastAsia="宋体" w:cs="Times New Roman"/>
                      <w:strike w:val="0"/>
                      <w:color w:val="000000" w:themeColor="text1"/>
                      <w:sz w:val="21"/>
                      <w:szCs w:val="21"/>
                      <w:highlight w:val="none"/>
                      <w:lang w:val="en-US" w:eastAsia="zh-CN"/>
                      <w14:textFill>
                        <w14:solidFill>
                          <w14:schemeClr w14:val="tx1"/>
                        </w14:solidFill>
                      </w14:textFill>
                    </w:rPr>
                    <w:t>；进出口设置</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，能对厂区生产废水、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初期雨水、</w:t>
                  </w:r>
                  <w:r>
                    <w:rPr>
                      <w:rFonts w:hint="default" w:ascii="Times New Roman" w:hAnsi="Times New Roman" w:eastAsia="宋体" w:cs="Times New Roman"/>
                      <w:color w:val="000000" w:themeColor="text1"/>
                      <w:sz w:val="21"/>
                      <w:szCs w:val="21"/>
                      <w:highlight w:val="none"/>
                      <w14:textFill>
                        <w14:solidFill>
                          <w14:schemeClr w14:val="tx1"/>
                        </w14:solidFill>
                      </w14:textFill>
                    </w:rPr>
                    <w:t>车辆冲洗废水进行有效沉淀和回用</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，厂区废水不外排。</w:t>
                  </w:r>
                </w:p>
              </w:tc>
              <w:tc>
                <w:tcPr>
                  <w:tcW w:w="493" w:type="pct"/>
                  <w:vAlign w:val="center"/>
                </w:tcPr>
                <w:p w14:paraId="76CCFF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符合</w:t>
                  </w:r>
                </w:p>
              </w:tc>
            </w:tr>
            <w:tr w14:paraId="389F71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68828E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76E2142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4.2.2生产区应布置在当地常年主导风向的下风侧，办公及生活区应布置在当地常年主导风向的上风侧。站区周边应采用造型与整体环境相协调的围护结构进行封闭维护。</w:t>
                  </w:r>
                </w:p>
              </w:tc>
              <w:tc>
                <w:tcPr>
                  <w:tcW w:w="2024" w:type="pct"/>
                  <w:vAlign w:val="center"/>
                </w:tcPr>
                <w:p w14:paraId="5A9687AC">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本项目位于蓬溪县，常年主导风向为东北风，场站生产区集中设置与东南侧，属于主导风向下风向，</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本项目拌和站（含</w:t>
                  </w:r>
                  <w:r>
                    <w:rPr>
                      <w:rFonts w:hint="default" w:ascii="Times New Roman" w:hAnsi="Times New Roman" w:eastAsia="宋体" w:cs="Times New Roman"/>
                      <w:color w:val="000000" w:themeColor="text1"/>
                      <w:sz w:val="21"/>
                      <w:szCs w:val="21"/>
                      <w:highlight w:val="none"/>
                      <w14:textFill>
                        <w14:solidFill>
                          <w14:schemeClr w14:val="tx1"/>
                        </w14:solidFill>
                      </w14:textFill>
                    </w:rPr>
                    <w:t>搅拌楼</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、筒仓、传送装置等）</w:t>
                  </w:r>
                  <w:r>
                    <w:rPr>
                      <w:rFonts w:hint="default" w:ascii="Times New Roman" w:hAnsi="Times New Roman" w:eastAsia="宋体" w:cs="Times New Roman"/>
                      <w:color w:val="000000" w:themeColor="text1"/>
                      <w:sz w:val="21"/>
                      <w:szCs w:val="21"/>
                      <w:highlight w:val="none"/>
                      <w14:textFill>
                        <w14:solidFill>
                          <w14:schemeClr w14:val="tx1"/>
                        </w14:solidFill>
                      </w14:textFill>
                    </w:rPr>
                    <w:t>采用整体封闭结构</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493" w:type="pct"/>
                  <w:vAlign w:val="center"/>
                </w:tcPr>
                <w:p w14:paraId="390779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7E358B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66ADE8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5658ABF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4.2.5</w:t>
                  </w:r>
                  <w:r>
                    <w:rPr>
                      <w:rFonts w:ascii="Times New Roman" w:hAnsi="Times New Roman" w:eastAsia="宋体"/>
                      <w:color w:val="000000" w:themeColor="text1"/>
                      <w:szCs w:val="21"/>
                      <w:highlight w:val="none"/>
                      <w14:textFill>
                        <w14:solidFill>
                          <w14:schemeClr w14:val="tx1"/>
                        </w14:solidFill>
                      </w14:textFill>
                    </w:rPr>
                    <w:t>站区道路及生产作业区地面应采用不起尘的混凝</w:t>
                  </w:r>
                  <w:r>
                    <w:rPr>
                      <w:rFonts w:hint="eastAsia" w:ascii="Times New Roman" w:hAnsi="Times New Roman" w:eastAsia="宋体"/>
                      <w:color w:val="000000" w:themeColor="text1"/>
                      <w:szCs w:val="21"/>
                      <w:highlight w:val="none"/>
                      <w:lang w:val="en-US" w:eastAsia="zh-CN"/>
                      <w14:textFill>
                        <w14:solidFill>
                          <w14:schemeClr w14:val="tx1"/>
                        </w14:solidFill>
                      </w14:textFill>
                    </w:rPr>
                    <w:t>土</w:t>
                  </w:r>
                  <w:r>
                    <w:rPr>
                      <w:rFonts w:ascii="Times New Roman" w:hAnsi="Times New Roman" w:eastAsia="宋体"/>
                      <w:color w:val="000000" w:themeColor="text1"/>
                      <w:szCs w:val="21"/>
                      <w:highlight w:val="none"/>
                      <w14:textFill>
                        <w14:solidFill>
                          <w14:schemeClr w14:val="tx1"/>
                        </w14:solidFill>
                      </w14:textFill>
                    </w:rPr>
                    <w:t>或沥青混凝土等硬质地面。生产作业区须采取有效措施保持场地整洁无扬尘，并应对未硬化处理的空地进行绿化。</w:t>
                  </w:r>
                </w:p>
              </w:tc>
              <w:tc>
                <w:tcPr>
                  <w:tcW w:w="2024" w:type="pct"/>
                  <w:vAlign w:val="center"/>
                </w:tcPr>
                <w:p w14:paraId="4ED994FD">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w:t>
                  </w:r>
                  <w:r>
                    <w:rPr>
                      <w:rFonts w:hint="eastAsia" w:ascii="Times New Roman" w:hAnsi="Times New Roman" w:eastAsia="宋体"/>
                      <w:color w:val="000000" w:themeColor="text1"/>
                      <w:szCs w:val="21"/>
                      <w:highlight w:val="none"/>
                      <w14:textFill>
                        <w14:solidFill>
                          <w14:schemeClr w14:val="tx1"/>
                        </w14:solidFill>
                      </w14:textFill>
                    </w:rPr>
                    <w:t>项目</w:t>
                  </w:r>
                  <w:r>
                    <w:rPr>
                      <w:rFonts w:ascii="Times New Roman" w:hAnsi="Times New Roman" w:eastAsia="宋体"/>
                      <w:color w:val="000000" w:themeColor="text1"/>
                      <w:szCs w:val="21"/>
                      <w:highlight w:val="none"/>
                      <w14:textFill>
                        <w14:solidFill>
                          <w14:schemeClr w14:val="tx1"/>
                        </w14:solidFill>
                      </w14:textFill>
                    </w:rPr>
                    <w:t>道路及生产作业区</w:t>
                  </w:r>
                  <w:r>
                    <w:rPr>
                      <w:rFonts w:hint="eastAsia" w:ascii="Times New Roman" w:hAnsi="Times New Roman" w:eastAsia="宋体"/>
                      <w:color w:val="000000" w:themeColor="text1"/>
                      <w:szCs w:val="21"/>
                      <w:highlight w:val="none"/>
                      <w14:textFill>
                        <w14:solidFill>
                          <w14:schemeClr w14:val="tx1"/>
                        </w14:solidFill>
                      </w14:textFill>
                    </w:rPr>
                    <w:t>地面</w:t>
                  </w:r>
                  <w:r>
                    <w:rPr>
                      <w:rFonts w:hint="eastAsia" w:ascii="Times New Roman" w:hAnsi="Times New Roman" w:eastAsia="宋体"/>
                      <w:color w:val="000000" w:themeColor="text1"/>
                      <w:szCs w:val="21"/>
                      <w:highlight w:val="none"/>
                      <w:lang w:eastAsia="zh-CN"/>
                      <w14:textFill>
                        <w14:solidFill>
                          <w14:schemeClr w14:val="tx1"/>
                        </w14:solidFill>
                      </w14:textFill>
                    </w:rPr>
                    <w:t>全部</w:t>
                  </w:r>
                  <w:r>
                    <w:rPr>
                      <w:rFonts w:hint="eastAsia" w:ascii="Times New Roman" w:hAnsi="Times New Roman" w:eastAsia="宋体"/>
                      <w:color w:val="000000" w:themeColor="text1"/>
                      <w:szCs w:val="21"/>
                      <w:highlight w:val="none"/>
                      <w14:textFill>
                        <w14:solidFill>
                          <w14:schemeClr w14:val="tx1"/>
                        </w14:solidFill>
                      </w14:textFill>
                    </w:rPr>
                    <w:t>进行硬化，并定期进行清扫、洒水降尘等，</w:t>
                  </w:r>
                  <w:r>
                    <w:rPr>
                      <w:rFonts w:ascii="Times New Roman" w:hAnsi="Times New Roman" w:eastAsia="宋体"/>
                      <w:color w:val="000000" w:themeColor="text1"/>
                      <w:szCs w:val="21"/>
                      <w:highlight w:val="none"/>
                      <w14:textFill>
                        <w14:solidFill>
                          <w14:schemeClr w14:val="tx1"/>
                        </w14:solidFill>
                      </w14:textFill>
                    </w:rPr>
                    <w:t>对未硬化处理的空地进行绿化。</w:t>
                  </w:r>
                </w:p>
              </w:tc>
              <w:tc>
                <w:tcPr>
                  <w:tcW w:w="493" w:type="pct"/>
                  <w:vAlign w:val="center"/>
                </w:tcPr>
                <w:p w14:paraId="45C679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3C146C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4A95F5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079E1BB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4.2.7</w:t>
                  </w:r>
                  <w:r>
                    <w:rPr>
                      <w:rFonts w:ascii="Times New Roman" w:hAnsi="Times New Roman" w:eastAsia="宋体"/>
                      <w:color w:val="000000" w:themeColor="text1"/>
                      <w:szCs w:val="21"/>
                      <w:highlight w:val="none"/>
                      <w14:textFill>
                        <w14:solidFill>
                          <w14:schemeClr w14:val="tx1"/>
                        </w14:solidFill>
                      </w14:textFill>
                    </w:rPr>
                    <w:t>站区内应根据搅拌站所在地区年平均降雨量设置适宜容积的雨水收集池，雨水经沉淀、净化后可根据实际需要再利用。同时应具备强降雨时能顺畅排洪及不致产生滑坡等自然灾害的能力。</w:t>
                  </w:r>
                </w:p>
              </w:tc>
              <w:tc>
                <w:tcPr>
                  <w:tcW w:w="2024" w:type="pct"/>
                  <w:vAlign w:val="center"/>
                </w:tcPr>
                <w:p w14:paraId="0D3891B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本项目设置雨水收集池，雨水经雨水收集池</w:t>
                  </w:r>
                  <w:r>
                    <w:rPr>
                      <w:rFonts w:hint="eastAsia" w:ascii="Times New Roman" w:hAnsi="Times New Roman" w:eastAsia="宋体"/>
                      <w:color w:val="000000" w:themeColor="text1"/>
                      <w:szCs w:val="21"/>
                      <w:highlight w:val="none"/>
                      <w:lang w:eastAsia="zh-CN"/>
                      <w14:textFill>
                        <w14:solidFill>
                          <w14:schemeClr w14:val="tx1"/>
                        </w14:solidFill>
                      </w14:textFill>
                    </w:rPr>
                    <w:t>处理</w:t>
                  </w:r>
                  <w:r>
                    <w:rPr>
                      <w:rFonts w:hint="eastAsia" w:ascii="Times New Roman" w:hAnsi="Times New Roman" w:eastAsia="宋体"/>
                      <w:color w:val="000000" w:themeColor="text1"/>
                      <w:szCs w:val="21"/>
                      <w:highlight w:val="none"/>
                      <w14:textFill>
                        <w14:solidFill>
                          <w14:schemeClr w14:val="tx1"/>
                        </w14:solidFill>
                      </w14:textFill>
                    </w:rPr>
                    <w:t>后回用于洒水降尘等</w:t>
                  </w:r>
                  <w:r>
                    <w:rPr>
                      <w:rFonts w:ascii="Times New Roman" w:hAnsi="Times New Roman" w:eastAsia="宋体"/>
                      <w:color w:val="000000" w:themeColor="text1"/>
                      <w:szCs w:val="21"/>
                      <w:highlight w:val="none"/>
                      <w14:textFill>
                        <w14:solidFill>
                          <w14:schemeClr w14:val="tx1"/>
                        </w14:solidFill>
                      </w14:textFill>
                    </w:rPr>
                    <w:t>。</w:t>
                  </w:r>
                </w:p>
              </w:tc>
              <w:tc>
                <w:tcPr>
                  <w:tcW w:w="493" w:type="pct"/>
                  <w:vAlign w:val="center"/>
                </w:tcPr>
                <w:p w14:paraId="6BEC6E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7E9DB5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0520AA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25E9E92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4.3.2搅拌主机、粉料简仓应及时清理卸料口的混凝土、简仓粉料的结积块和砂浆废料等，确保地面清洁。并应配备保持完好的除尘、降噪设施。除尘、降噪设施中的滤芯等易损装置应定期保养或更换。</w:t>
                  </w:r>
                </w:p>
              </w:tc>
              <w:tc>
                <w:tcPr>
                  <w:tcW w:w="2024" w:type="pct"/>
                  <w:vAlign w:val="center"/>
                </w:tcPr>
                <w:p w14:paraId="0ADED63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本项目运营期将加强管理，定期</w:t>
                  </w:r>
                  <w:r>
                    <w:rPr>
                      <w:rFonts w:hint="eastAsia" w:ascii="Times New Roman" w:hAnsi="Times New Roman" w:eastAsia="宋体"/>
                      <w:color w:val="000000" w:themeColor="text1"/>
                      <w:szCs w:val="21"/>
                      <w:highlight w:val="none"/>
                      <w:lang w:val="en-US" w:eastAsia="zh-CN"/>
                      <w14:textFill>
                        <w14:solidFill>
                          <w14:schemeClr w14:val="tx1"/>
                        </w14:solidFill>
                      </w14:textFill>
                    </w:rPr>
                    <w:t>清理卸料口的混凝土、简仓粉料的结积块和砂浆废料等，确保地面清洁。保障除尘、降噪设施完好正常运营，定期保养或更换除尘、降噪设施中的滤芯等易损装置。</w:t>
                  </w:r>
                </w:p>
              </w:tc>
              <w:tc>
                <w:tcPr>
                  <w:tcW w:w="493" w:type="pct"/>
                  <w:vAlign w:val="center"/>
                </w:tcPr>
                <w:p w14:paraId="77C90E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1C5B5C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1D25E5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05AAA31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4.3.4储存砂石的地面应为硬质地面，宜建有积水池及回收利用管道，并确保排水通畅。混凝土用砂石堆场宜安装喷雾除尘设备，砂浆用砂石堆场宜设防尘设施。</w:t>
                  </w:r>
                </w:p>
              </w:tc>
              <w:tc>
                <w:tcPr>
                  <w:tcW w:w="2024" w:type="pct"/>
                  <w:vAlign w:val="center"/>
                </w:tcPr>
                <w:p w14:paraId="7DEDB93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本项目砂石料仓地面全硬化，边界建排水沟连通至污水沉淀池，沉淀后回用；砂石料仓均内安装喷雾降尘装置。</w:t>
                  </w:r>
                </w:p>
              </w:tc>
              <w:tc>
                <w:tcPr>
                  <w:tcW w:w="493" w:type="pct"/>
                  <w:vAlign w:val="center"/>
                </w:tcPr>
                <w:p w14:paraId="6C48EF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310420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restart"/>
                  <w:vAlign w:val="center"/>
                </w:tcPr>
                <w:p w14:paraId="69C888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5环境建设与质量监控</w:t>
                  </w:r>
                </w:p>
              </w:tc>
              <w:tc>
                <w:tcPr>
                  <w:tcW w:w="2162" w:type="pct"/>
                  <w:vAlign w:val="center"/>
                </w:tcPr>
                <w:p w14:paraId="3AFCD21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5.1.7</w:t>
                  </w:r>
                  <w:r>
                    <w:rPr>
                      <w:rFonts w:ascii="Times New Roman" w:hAnsi="Times New Roman" w:eastAsia="宋体"/>
                      <w:color w:val="000000" w:themeColor="text1"/>
                      <w:szCs w:val="21"/>
                      <w:highlight w:val="none"/>
                      <w14:textFill>
                        <w14:solidFill>
                          <w14:schemeClr w14:val="tx1"/>
                        </w14:solidFill>
                      </w14:textFill>
                    </w:rPr>
                    <w:t>对易产生噪音的机械设备及区域，应采取适宜、有效的降噪及隔声屏障措施。降噪及隔声屏障措施的设置应符合国家现行有关安全质量标准的规定。</w:t>
                  </w:r>
                </w:p>
              </w:tc>
              <w:tc>
                <w:tcPr>
                  <w:tcW w:w="2024" w:type="pct"/>
                  <w:vAlign w:val="center"/>
                </w:tcPr>
                <w:p w14:paraId="51B2CA5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本项目主要噪声源为搅拌主机</w:t>
                  </w:r>
                  <w:r>
                    <w:rPr>
                      <w:rFonts w:hint="eastAsia" w:ascii="Times New Roman" w:hAnsi="Times New Roman" w:eastAsia="宋体"/>
                      <w:color w:val="000000" w:themeColor="text1"/>
                      <w:szCs w:val="21"/>
                      <w:highlight w:val="none"/>
                      <w:lang w:eastAsia="zh-CN"/>
                      <w14:textFill>
                        <w14:solidFill>
                          <w14:schemeClr w14:val="tx1"/>
                        </w14:solidFill>
                      </w14:textFill>
                    </w:rPr>
                    <w:t>等</w:t>
                  </w:r>
                  <w:r>
                    <w:rPr>
                      <w:rFonts w:hint="eastAsia" w:ascii="Times New Roman" w:hAnsi="Times New Roman" w:eastAsia="宋体"/>
                      <w:color w:val="000000" w:themeColor="text1"/>
                      <w:szCs w:val="21"/>
                      <w:highlight w:val="none"/>
                      <w14:textFill>
                        <w14:solidFill>
                          <w14:schemeClr w14:val="tx1"/>
                        </w14:solidFill>
                      </w14:textFill>
                    </w:rPr>
                    <w:t>等</w:t>
                  </w:r>
                  <w:r>
                    <w:rPr>
                      <w:rFonts w:ascii="Times New Roman" w:hAnsi="Times New Roman" w:eastAsia="宋体"/>
                      <w:color w:val="000000" w:themeColor="text1"/>
                      <w:szCs w:val="21"/>
                      <w:highlight w:val="none"/>
                      <w14:textFill>
                        <w14:solidFill>
                          <w14:schemeClr w14:val="tx1"/>
                        </w14:solidFill>
                      </w14:textFill>
                    </w:rPr>
                    <w:t>，设备采用选用低噪声、振动小的设备，设备基础安装减振器等措施处理后，</w:t>
                  </w:r>
                  <w:r>
                    <w:rPr>
                      <w:rFonts w:hint="eastAsia" w:ascii="Times New Roman" w:hAnsi="Times New Roman" w:eastAsia="宋体"/>
                      <w:color w:val="000000" w:themeColor="text1"/>
                      <w:szCs w:val="21"/>
                      <w:highlight w:val="none"/>
                      <w14:textFill>
                        <w14:solidFill>
                          <w14:schemeClr w14:val="tx1"/>
                        </w14:solidFill>
                      </w14:textFill>
                    </w:rPr>
                    <w:t>根据预测，</w:t>
                  </w:r>
                  <w:r>
                    <w:rPr>
                      <w:rFonts w:ascii="Times New Roman" w:hAnsi="Times New Roman" w:eastAsia="宋体"/>
                      <w:color w:val="000000" w:themeColor="text1"/>
                      <w:szCs w:val="21"/>
                      <w:highlight w:val="none"/>
                      <w14:textFill>
                        <w14:solidFill>
                          <w14:schemeClr w14:val="tx1"/>
                        </w14:solidFill>
                      </w14:textFill>
                    </w:rPr>
                    <w:t>厂界噪声源强符合《工业企业厂界环境噪声排放标准》（GB12348-2008）</w:t>
                  </w:r>
                  <w:r>
                    <w:rPr>
                      <w:rFonts w:hint="eastAsia" w:ascii="Times New Roman" w:hAnsi="Times New Roman" w:eastAsia="宋体"/>
                      <w:color w:val="000000" w:themeColor="text1"/>
                      <w:szCs w:val="21"/>
                      <w:highlight w:val="none"/>
                      <w:lang w:val="en-US" w:eastAsia="zh-CN"/>
                      <w14:textFill>
                        <w14:solidFill>
                          <w14:schemeClr w14:val="tx1"/>
                        </w14:solidFill>
                      </w14:textFill>
                    </w:rPr>
                    <w:t>3</w:t>
                  </w:r>
                  <w:r>
                    <w:rPr>
                      <w:rFonts w:ascii="Times New Roman" w:hAnsi="Times New Roman" w:eastAsia="宋体"/>
                      <w:color w:val="000000" w:themeColor="text1"/>
                      <w:szCs w:val="21"/>
                      <w:highlight w:val="none"/>
                      <w14:textFill>
                        <w14:solidFill>
                          <w14:schemeClr w14:val="tx1"/>
                        </w14:solidFill>
                      </w14:textFill>
                    </w:rPr>
                    <w:t>类标准。</w:t>
                  </w:r>
                </w:p>
              </w:tc>
              <w:tc>
                <w:tcPr>
                  <w:tcW w:w="493" w:type="pct"/>
                  <w:vAlign w:val="center"/>
                </w:tcPr>
                <w:p w14:paraId="655AFC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6B7371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3D78B2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29F51931">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5.3.4</w:t>
                  </w:r>
                  <w:r>
                    <w:rPr>
                      <w:rFonts w:ascii="Times New Roman" w:hAnsi="Times New Roman" w:eastAsia="宋体"/>
                      <w:color w:val="000000" w:themeColor="text1"/>
                      <w:szCs w:val="21"/>
                      <w:highlight w:val="none"/>
                      <w14:textFill>
                        <w14:solidFill>
                          <w14:schemeClr w14:val="tx1"/>
                        </w14:solidFill>
                      </w14:textFill>
                    </w:rPr>
                    <w:t>对产生粉尘排放的设备、设施或场所，应进行封闭处理或安装除尘装置。除尘装置宜与粉尘监测装置相连，确保实时监测和粉尘超标时能及时采取相应措施。并应根据需要设置适宜的喷淋装置对砂石进行预湿处置。</w:t>
                  </w:r>
                </w:p>
              </w:tc>
              <w:tc>
                <w:tcPr>
                  <w:tcW w:w="2024" w:type="pct"/>
                  <w:vAlign w:val="center"/>
                </w:tcPr>
                <w:p w14:paraId="210CDCB0">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本项目搅拌机和筒仓均密闭且安装布袋除尘装置；</w:t>
                  </w:r>
                </w:p>
                <w:p w14:paraId="0843475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本次环评要求建设单位落实例行监测计划，同时建议厂区内设置粉尘监测装置，实时监测厂区内粉尘；</w:t>
                  </w:r>
                </w:p>
                <w:p w14:paraId="4650762F">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本项目</w:t>
                  </w:r>
                  <w:r>
                    <w:rPr>
                      <w:rFonts w:hint="eastAsia" w:ascii="Times New Roman" w:hAnsi="Times New Roman" w:eastAsia="宋体"/>
                      <w:color w:val="000000" w:themeColor="text1"/>
                      <w:szCs w:val="21"/>
                      <w:highlight w:val="none"/>
                      <w14:textFill>
                        <w14:solidFill>
                          <w14:schemeClr w14:val="tx1"/>
                        </w14:solidFill>
                      </w14:textFill>
                    </w:rPr>
                    <w:t>在</w:t>
                  </w:r>
                  <w:r>
                    <w:rPr>
                      <w:rFonts w:hint="eastAsia" w:ascii="Times New Roman" w:hAnsi="Times New Roman" w:eastAsia="宋体"/>
                      <w:color w:val="000000" w:themeColor="text1"/>
                      <w:szCs w:val="21"/>
                      <w:highlight w:val="none"/>
                      <w:lang w:eastAsia="zh-CN"/>
                      <w14:textFill>
                        <w14:solidFill>
                          <w14:schemeClr w14:val="tx1"/>
                        </w14:solidFill>
                      </w14:textFill>
                    </w:rPr>
                    <w:t>砂石料仓、搅拌楼等</w:t>
                  </w:r>
                  <w:r>
                    <w:rPr>
                      <w:rFonts w:hint="eastAsia" w:ascii="Times New Roman" w:hAnsi="Times New Roman" w:eastAsia="宋体"/>
                      <w:color w:val="000000" w:themeColor="text1"/>
                      <w:szCs w:val="21"/>
                      <w:highlight w:val="none"/>
                      <w14:textFill>
                        <w14:solidFill>
                          <w14:schemeClr w14:val="tx1"/>
                        </w14:solidFill>
                      </w14:textFill>
                    </w:rPr>
                    <w:t>产尘节点均设置</w:t>
                  </w:r>
                  <w:r>
                    <w:rPr>
                      <w:rFonts w:ascii="Times New Roman" w:hAnsi="Times New Roman" w:eastAsia="宋体"/>
                      <w:color w:val="000000" w:themeColor="text1"/>
                      <w:szCs w:val="21"/>
                      <w:highlight w:val="none"/>
                      <w14:textFill>
                        <w14:solidFill>
                          <w14:schemeClr w14:val="tx1"/>
                        </w14:solidFill>
                      </w14:textFill>
                    </w:rPr>
                    <w:t>喷淋</w:t>
                  </w:r>
                  <w:r>
                    <w:rPr>
                      <w:rFonts w:hint="eastAsia" w:ascii="Times New Roman" w:hAnsi="Times New Roman" w:eastAsia="宋体"/>
                      <w:color w:val="000000" w:themeColor="text1"/>
                      <w:szCs w:val="21"/>
                      <w:highlight w:val="none"/>
                      <w14:textFill>
                        <w14:solidFill>
                          <w14:schemeClr w14:val="tx1"/>
                        </w14:solidFill>
                      </w14:textFill>
                    </w:rPr>
                    <w:t>装置</w:t>
                  </w:r>
                  <w:r>
                    <w:rPr>
                      <w:rFonts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14:textFill>
                        <w14:solidFill>
                          <w14:schemeClr w14:val="tx1"/>
                        </w14:solidFill>
                      </w14:textFill>
                    </w:rPr>
                    <w:t>湿法作业，</w:t>
                  </w:r>
                  <w:r>
                    <w:rPr>
                      <w:rFonts w:ascii="Times New Roman" w:hAnsi="Times New Roman" w:eastAsia="宋体"/>
                      <w:color w:val="000000" w:themeColor="text1"/>
                      <w:szCs w:val="21"/>
                      <w:highlight w:val="none"/>
                      <w14:textFill>
                        <w14:solidFill>
                          <w14:schemeClr w14:val="tx1"/>
                        </w14:solidFill>
                      </w14:textFill>
                    </w:rPr>
                    <w:t>减少粉尘</w:t>
                  </w:r>
                  <w:r>
                    <w:rPr>
                      <w:rFonts w:hint="eastAsia" w:ascii="Times New Roman" w:hAnsi="Times New Roman" w:eastAsia="宋体"/>
                      <w:color w:val="000000" w:themeColor="text1"/>
                      <w:szCs w:val="21"/>
                      <w:highlight w:val="none"/>
                      <w14:textFill>
                        <w14:solidFill>
                          <w14:schemeClr w14:val="tx1"/>
                        </w14:solidFill>
                      </w14:textFill>
                    </w:rPr>
                    <w:t>产生</w:t>
                  </w:r>
                  <w:r>
                    <w:rPr>
                      <w:rFonts w:ascii="Times New Roman" w:hAnsi="Times New Roman" w:eastAsia="宋体"/>
                      <w:color w:val="000000" w:themeColor="text1"/>
                      <w:szCs w:val="21"/>
                      <w:highlight w:val="none"/>
                      <w14:textFill>
                        <w14:solidFill>
                          <w14:schemeClr w14:val="tx1"/>
                        </w14:solidFill>
                      </w14:textFill>
                    </w:rPr>
                    <w:t>。</w:t>
                  </w:r>
                </w:p>
              </w:tc>
              <w:tc>
                <w:tcPr>
                  <w:tcW w:w="493" w:type="pct"/>
                  <w:vAlign w:val="center"/>
                </w:tcPr>
                <w:p w14:paraId="365537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r w14:paraId="27F4A5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Merge w:val="continue"/>
                  <w:vAlign w:val="center"/>
                </w:tcPr>
                <w:p w14:paraId="624308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162" w:type="pct"/>
                  <w:vAlign w:val="center"/>
                </w:tcPr>
                <w:p w14:paraId="2470FF14">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5.4.2</w:t>
                  </w:r>
                  <w:r>
                    <w:rPr>
                      <w:rFonts w:ascii="Times New Roman" w:hAnsi="Times New Roman" w:eastAsia="宋体"/>
                      <w:color w:val="000000" w:themeColor="text1"/>
                      <w:szCs w:val="21"/>
                      <w:highlight w:val="none"/>
                      <w14:textFill>
                        <w14:solidFill>
                          <w14:schemeClr w14:val="tx1"/>
                        </w14:solidFill>
                      </w14:textFill>
                    </w:rPr>
                    <w:t>搅拌站生产过程中产生的废水、废浆和残存的混凝土、砂浆、粉尘等可再生资源，应有相应的安置场地及有效的资源化利用技术措施与产品。未经处理的废水、废浆及残存的混凝土、砂浆等不得外排。</w:t>
                  </w:r>
                </w:p>
              </w:tc>
              <w:tc>
                <w:tcPr>
                  <w:tcW w:w="2024" w:type="pct"/>
                  <w:vAlign w:val="center"/>
                </w:tcPr>
                <w:p w14:paraId="2DC912C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本</w:t>
                  </w:r>
                  <w:r>
                    <w:rPr>
                      <w:rFonts w:ascii="Times New Roman" w:hAnsi="Times New Roman" w:eastAsia="宋体"/>
                      <w:color w:val="000000" w:themeColor="text1"/>
                      <w:szCs w:val="21"/>
                      <w:highlight w:val="none"/>
                      <w14:textFill>
                        <w14:solidFill>
                          <w14:schemeClr w14:val="tx1"/>
                        </w14:solidFill>
                      </w14:textFill>
                    </w:rPr>
                    <w:t>项目废水经过沉淀池沉淀后回用于生产，粉尘经过项目布袋除尘器收集后回用于生产。</w:t>
                  </w:r>
                  <w:r>
                    <w:rPr>
                      <w:rFonts w:hint="eastAsia" w:ascii="Times New Roman" w:hAnsi="Times New Roman" w:eastAsia="宋体"/>
                      <w:color w:val="000000" w:themeColor="text1"/>
                      <w:szCs w:val="21"/>
                      <w:highlight w:val="none"/>
                      <w:lang w:eastAsia="zh-CN"/>
                      <w14:textFill>
                        <w14:solidFill>
                          <w14:schemeClr w14:val="tx1"/>
                        </w14:solidFill>
                      </w14:textFill>
                    </w:rPr>
                    <w:t>沉淀池</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底泥定期清掏，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r>
                    <w:rPr>
                      <w:rFonts w:ascii="Times New Roman" w:hAnsi="Times New Roman" w:eastAsia="宋体"/>
                      <w:color w:val="000000" w:themeColor="text1"/>
                      <w:szCs w:val="21"/>
                      <w:highlight w:val="none"/>
                      <w14:textFill>
                        <w14:solidFill>
                          <w14:schemeClr w14:val="tx1"/>
                        </w14:solidFill>
                      </w14:textFill>
                    </w:rPr>
                    <w:t>。</w:t>
                  </w:r>
                </w:p>
              </w:tc>
              <w:tc>
                <w:tcPr>
                  <w:tcW w:w="493" w:type="pct"/>
                  <w:vAlign w:val="center"/>
                </w:tcPr>
                <w:p w14:paraId="752E63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符合</w:t>
                  </w:r>
                </w:p>
              </w:tc>
            </w:tr>
          </w:tbl>
          <w:p w14:paraId="7EFC96D8">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w:t>
            </w:r>
            <w:r>
              <w:rPr>
                <w:rFonts w:hint="eastAsia" w:eastAsia="宋体"/>
                <w:color w:val="000000" w:themeColor="text1"/>
                <w:kern w:val="2"/>
                <w:highlight w:val="none"/>
                <w14:textFill>
                  <w14:solidFill>
                    <w14:schemeClr w14:val="tx1"/>
                  </w14:solidFill>
                </w14:textFill>
              </w:rPr>
              <w:t>本项目建设符合《四川省绿色环保搅拌站建设、管理和评价标准》（DBJ51/T104-2018）要求。</w:t>
            </w:r>
          </w:p>
          <w:p w14:paraId="5BB9E789">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eastAsia="宋体"/>
                <w:b/>
                <w:bCs/>
                <w:color w:val="000000" w:themeColor="text1"/>
                <w:kern w:val="2"/>
                <w:highlight w:val="none"/>
                <w:lang w:eastAsia="zh-CN"/>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七、与《自然资源部关于规范临时用地管理的通知》（自然资规〔2021〕 2 号）符合性分析</w:t>
            </w:r>
          </w:p>
          <w:p w14:paraId="063A571A">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根据《自然资源部关于规范临时用地管理的通知》（自然资规〔2021〕2号）的要求，其符合性分析如下：</w:t>
            </w:r>
          </w:p>
          <w:p w14:paraId="6BD5F8D4">
            <w:pPr>
              <w:pStyle w:val="41"/>
              <w:keepNext w:val="0"/>
              <w:keepLines w:val="0"/>
              <w:pageBreakBefore w:val="0"/>
              <w:widowControl w:val="0"/>
              <w:kinsoku/>
              <w:wordWrap/>
              <w:overflowPunct/>
              <w:topLinePunct w:val="0"/>
              <w:autoSpaceDE/>
              <w:autoSpaceDN/>
              <w:bidi w:val="0"/>
              <w:adjustRightInd w:val="0"/>
              <w:snapToGrid w:val="0"/>
              <w:spacing w:before="157" w:beforeLines="50" w:line="240" w:lineRule="auto"/>
              <w:ind w:left="0" w:leftChars="0" w:firstLine="0" w:firstLineChars="0"/>
              <w:jc w:val="center"/>
              <w:textAlignment w:val="auto"/>
              <w:rPr>
                <w:rFonts w:hint="eastAsia" w:eastAsia="宋体"/>
                <w:b/>
                <w:bCs/>
                <w:color w:val="000000" w:themeColor="text1"/>
                <w:kern w:val="2"/>
                <w:sz w:val="21"/>
                <w:szCs w:val="21"/>
                <w:highlight w:val="none"/>
                <w:lang w:eastAsia="zh-CN"/>
                <w14:textFill>
                  <w14:solidFill>
                    <w14:schemeClr w14:val="tx1"/>
                  </w14:solidFill>
                </w14:textFill>
              </w:rPr>
            </w:pPr>
            <w:r>
              <w:rPr>
                <w:rFonts w:hint="eastAsia" w:eastAsia="宋体"/>
                <w:b/>
                <w:bCs/>
                <w:color w:val="000000" w:themeColor="text1"/>
                <w:kern w:val="2"/>
                <w:sz w:val="21"/>
                <w:szCs w:val="21"/>
                <w:highlight w:val="none"/>
                <w:lang w:eastAsia="zh-CN"/>
                <w14:textFill>
                  <w14:solidFill>
                    <w14:schemeClr w14:val="tx1"/>
                  </w14:solidFill>
                </w14:textFill>
              </w:rPr>
              <w:t>表</w:t>
            </w:r>
            <w:r>
              <w:rPr>
                <w:rFonts w:hint="eastAsia" w:eastAsia="宋体"/>
                <w:b/>
                <w:bCs/>
                <w:color w:val="000000" w:themeColor="text1"/>
                <w:kern w:val="2"/>
                <w:sz w:val="21"/>
                <w:szCs w:val="21"/>
                <w:highlight w:val="none"/>
                <w:lang w:val="en-US" w:eastAsia="zh-CN"/>
                <w14:textFill>
                  <w14:solidFill>
                    <w14:schemeClr w14:val="tx1"/>
                  </w14:solidFill>
                </w14:textFill>
              </w:rPr>
              <w:t xml:space="preserve">1-6    </w:t>
            </w:r>
            <w:r>
              <w:rPr>
                <w:rFonts w:hint="eastAsia" w:eastAsia="宋体"/>
                <w:b/>
                <w:bCs/>
                <w:color w:val="000000" w:themeColor="text1"/>
                <w:kern w:val="2"/>
                <w:sz w:val="21"/>
                <w:szCs w:val="21"/>
                <w:highlight w:val="none"/>
                <w:lang w:eastAsia="zh-CN"/>
                <w14:textFill>
                  <w14:solidFill>
                    <w14:schemeClr w14:val="tx1"/>
                  </w14:solidFill>
                </w14:textFill>
              </w:rPr>
              <w:t>与《自然资源部关于规范临时用地管理的通知》符合性分析</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99"/>
              <w:gridCol w:w="5251"/>
              <w:gridCol w:w="1350"/>
              <w:gridCol w:w="698"/>
            </w:tblGrid>
            <w:tr w14:paraId="3454DF3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61ADC9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序号</w:t>
                  </w:r>
                </w:p>
              </w:tc>
              <w:tc>
                <w:tcPr>
                  <w:tcW w:w="3366" w:type="pct"/>
                  <w:vAlign w:val="center"/>
                </w:tcPr>
                <w:p w14:paraId="70CE1C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文件</w:t>
                  </w:r>
                  <w:r>
                    <w:rPr>
                      <w:rFonts w:ascii="Times New Roman" w:hAnsi="Times New Roman" w:eastAsia="宋体"/>
                      <w:b/>
                      <w:bCs/>
                      <w:color w:val="000000" w:themeColor="text1"/>
                      <w:szCs w:val="21"/>
                      <w:highlight w:val="none"/>
                      <w14:textFill>
                        <w14:solidFill>
                          <w14:schemeClr w14:val="tx1"/>
                        </w14:solidFill>
                      </w14:textFill>
                    </w:rPr>
                    <w:t>要求</w:t>
                  </w:r>
                </w:p>
              </w:tc>
              <w:tc>
                <w:tcPr>
                  <w:tcW w:w="865" w:type="pct"/>
                  <w:vAlign w:val="center"/>
                </w:tcPr>
                <w:p w14:paraId="002AA4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本项目</w:t>
                  </w:r>
                  <w:r>
                    <w:rPr>
                      <w:rFonts w:hint="eastAsia" w:ascii="Times New Roman" w:hAnsi="Times New Roman" w:eastAsia="宋体"/>
                      <w:b/>
                      <w:bCs/>
                      <w:color w:val="000000" w:themeColor="text1"/>
                      <w:szCs w:val="21"/>
                      <w:highlight w:val="none"/>
                      <w14:textFill>
                        <w14:solidFill>
                          <w14:schemeClr w14:val="tx1"/>
                        </w14:solidFill>
                      </w14:textFill>
                    </w:rPr>
                    <w:t>情况</w:t>
                  </w:r>
                </w:p>
              </w:tc>
              <w:tc>
                <w:tcPr>
                  <w:tcW w:w="447" w:type="pct"/>
                  <w:vAlign w:val="center"/>
                </w:tcPr>
                <w:p w14:paraId="35D4D7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符合性</w:t>
                  </w:r>
                </w:p>
              </w:tc>
            </w:tr>
            <w:tr w14:paraId="76ED54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05D68EDC">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一、界定临时用地使用范围</w:t>
                  </w:r>
                </w:p>
              </w:tc>
              <w:tc>
                <w:tcPr>
                  <w:tcW w:w="3366" w:type="pct"/>
                  <w:vAlign w:val="center"/>
                </w:tcPr>
                <w:p w14:paraId="35E1238C">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临时用地的范围包括：</w:t>
                  </w:r>
                </w:p>
                <w:p w14:paraId="70D664A0">
                  <w:pPr>
                    <w:keepNext w:val="0"/>
                    <w:keepLines w:val="0"/>
                    <w:pageBreakBefore w:val="0"/>
                    <w:widowControl w:val="0"/>
                    <w:numPr>
                      <w:ilvl w:val="0"/>
                      <w:numId w:val="3"/>
                    </w:numPr>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建设项目施工过程中建设的直接服务于施工人员的临时办公和生活用房，包括临时办公用房、生活用房、工棚等使用的土地；直接服务于工程施工的项目自用辅助工程，包括农用地表土剥离堆放场、材料堆场、制梁场、</w:t>
                  </w:r>
                  <w:r>
                    <w:rPr>
                      <w:rFonts w:hint="eastAsia" w:ascii="宋体" w:hAnsi="宋体" w:eastAsia="宋体"/>
                      <w:color w:val="000000" w:themeColor="text1"/>
                      <w:sz w:val="21"/>
                      <w:szCs w:val="24"/>
                      <w:highlight w:val="none"/>
                      <w:lang w:eastAsia="zh-CN"/>
                      <w14:textFill>
                        <w14:solidFill>
                          <w14:schemeClr w14:val="tx1"/>
                        </w14:solidFill>
                      </w14:textFill>
                    </w:rPr>
                    <w:t>拌和站</w:t>
                  </w:r>
                  <w:r>
                    <w:rPr>
                      <w:rFonts w:hint="eastAsia" w:ascii="宋体" w:hAnsi="宋体" w:eastAsia="宋体"/>
                      <w:color w:val="000000" w:themeColor="text1"/>
                      <w:sz w:val="21"/>
                      <w:szCs w:val="24"/>
                      <w:highlight w:val="none"/>
                      <w14:textFill>
                        <w14:solidFill>
                          <w14:schemeClr w14:val="tx1"/>
                        </w14:solidFill>
                      </w14:textFill>
                    </w:rPr>
                    <w:t>、钢筋加工厂、施工便道、运输便道、地上线路架设、地下管线敷设作业，以及能源、交通、水利等基础设施项目的取土场、弃土（渣）场等使用的土地。</w:t>
                  </w:r>
                </w:p>
                <w:p w14:paraId="3BF0B6F2">
                  <w:pPr>
                    <w:keepNext w:val="0"/>
                    <w:keepLines w:val="0"/>
                    <w:pageBreakBefore w:val="0"/>
                    <w:widowControl w:val="0"/>
                    <w:numPr>
                      <w:ilvl w:val="0"/>
                      <w:numId w:val="0"/>
                    </w:numPr>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二）矿产资源勘查、工程地质勘查、水文地质勘查等，在勘查期间临时生活用房、临时工棚、勘查作业及其辅助工程、施工便道、运输便道等使用的土地，包括油气资源勘查中钻井井场、配套管线、电力设施、进场道路等钻井及配套设施使用的土地。</w:t>
                  </w:r>
                </w:p>
                <w:p w14:paraId="0F2DF9EB">
                  <w:pPr>
                    <w:keepNext w:val="0"/>
                    <w:keepLines w:val="0"/>
                    <w:pageBreakBefore w:val="0"/>
                    <w:widowControl w:val="0"/>
                    <w:numPr>
                      <w:ilvl w:val="0"/>
                      <w:numId w:val="0"/>
                    </w:numPr>
                    <w:kinsoku/>
                    <w:wordWrap/>
                    <w:overflowPunct/>
                    <w:topLinePunct w:val="0"/>
                    <w:autoSpaceDE/>
                    <w:autoSpaceDN/>
                    <w:bidi w:val="0"/>
                    <w:adjustRightInd w:val="0"/>
                    <w:snapToGrid w:val="0"/>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（三）符合法律、法规规定的其他需要临时使用的土地。</w:t>
                  </w:r>
                </w:p>
              </w:tc>
              <w:tc>
                <w:tcPr>
                  <w:tcW w:w="865" w:type="pct"/>
                  <w:vAlign w:val="center"/>
                </w:tcPr>
                <w:p w14:paraId="5DFD772E">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本项目属于“</w:t>
                  </w:r>
                  <w:r>
                    <w:rPr>
                      <w:rFonts w:hint="eastAsia" w:ascii="TimesNewRomanPSMT" w:hAnsi="TimesNewRomanPSMT" w:eastAsia="TimesNewRomanPSMT"/>
                      <w:color w:val="000000" w:themeColor="text1"/>
                      <w:sz w:val="21"/>
                      <w:szCs w:val="24"/>
                      <w:highlight w:val="none"/>
                      <w14:textFill>
                        <w14:solidFill>
                          <w14:schemeClr w14:val="tx1"/>
                        </w14:solidFill>
                      </w14:textFill>
                    </w:rPr>
                    <w:t>G42</w:t>
                  </w:r>
                  <w:r>
                    <w:rPr>
                      <w:rFonts w:hint="eastAsia" w:ascii="宋体" w:hAnsi="宋体" w:eastAsia="宋体"/>
                      <w:color w:val="000000" w:themeColor="text1"/>
                      <w:sz w:val="21"/>
                      <w:szCs w:val="24"/>
                      <w:highlight w:val="none"/>
                      <w14:textFill>
                        <w14:solidFill>
                          <w14:schemeClr w14:val="tx1"/>
                        </w14:solidFill>
                      </w14:textFill>
                    </w:rPr>
                    <w:t>线南充至成都段高速公路扩容工程”施工建设的配套临时</w:t>
                  </w:r>
                  <w:r>
                    <w:rPr>
                      <w:rFonts w:hint="eastAsia" w:ascii="宋体" w:hAnsi="宋体" w:eastAsia="宋体"/>
                      <w:color w:val="000000" w:themeColor="text1"/>
                      <w:sz w:val="21"/>
                      <w:szCs w:val="24"/>
                      <w:highlight w:val="none"/>
                      <w:lang w:eastAsia="zh-CN"/>
                      <w14:textFill>
                        <w14:solidFill>
                          <w14:schemeClr w14:val="tx1"/>
                        </w14:solidFill>
                      </w14:textFill>
                    </w:rPr>
                    <w:t>拌和站</w:t>
                  </w:r>
                  <w:r>
                    <w:rPr>
                      <w:rFonts w:hint="eastAsia" w:ascii="宋体" w:hAnsi="宋体" w:eastAsia="宋体"/>
                      <w:color w:val="000000" w:themeColor="text1"/>
                      <w:sz w:val="21"/>
                      <w:szCs w:val="24"/>
                      <w:highlight w:val="none"/>
                      <w:lang w:val="en-US" w:eastAsia="zh-CN"/>
                      <w14:textFill>
                        <w14:solidFill>
                          <w14:schemeClr w14:val="tx1"/>
                        </w14:solidFill>
                      </w14:textFill>
                    </w:rPr>
                    <w:t>.</w:t>
                  </w:r>
                </w:p>
              </w:tc>
              <w:tc>
                <w:tcPr>
                  <w:tcW w:w="447" w:type="pct"/>
                  <w:vAlign w:val="center"/>
                </w:tcPr>
                <w:p w14:paraId="115D1C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061B74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9" w:type="pct"/>
                  <w:vAlign w:val="center"/>
                </w:tcPr>
                <w:p w14:paraId="0DF42C3E">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二、临时用地选址要求和使用期限</w:t>
                  </w:r>
                </w:p>
              </w:tc>
              <w:tc>
                <w:tcPr>
                  <w:tcW w:w="3366" w:type="pct"/>
                  <w:vAlign w:val="center"/>
                </w:tcPr>
                <w:p w14:paraId="1CCB71EA">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w:t>
                  </w:r>
                  <w:r>
                    <w:rPr>
                      <w:rFonts w:hint="eastAsia" w:ascii="宋体" w:hAnsi="宋体" w:eastAsia="宋体"/>
                      <w:color w:val="000000" w:themeColor="text1"/>
                      <w:sz w:val="21"/>
                      <w:szCs w:val="24"/>
                      <w:highlight w:val="none"/>
                      <w:lang w:eastAsia="zh-CN"/>
                      <w14:textFill>
                        <w14:solidFill>
                          <w14:schemeClr w14:val="tx1"/>
                        </w14:solidFill>
                      </w14:textFill>
                    </w:rPr>
                    <w:t>拌和站</w:t>
                  </w:r>
                  <w:r>
                    <w:rPr>
                      <w:rFonts w:hint="eastAsia" w:ascii="宋体" w:hAnsi="宋体" w:eastAsia="宋体"/>
                      <w:color w:val="000000" w:themeColor="text1"/>
                      <w:sz w:val="21"/>
                      <w:szCs w:val="24"/>
                      <w:highlight w:val="none"/>
                      <w14:textFill>
                        <w14:solidFill>
                          <w14:schemeClr w14:val="tx1"/>
                        </w14:solidFill>
                      </w14:textFill>
                    </w:rPr>
                    <w:t>等难以恢复原种植条件的不得以临时用地方式占用耕地和永久基本农田，可以建设用地方式或者临时占用未利用地方式使用土地。临时用地确需占用永久基本农田的，必须能够恢复原种植条件，并符合《自然资源部农业农村部关于加强和改进永久基本农田保护工作的通知》（自然资规〔</w:t>
                  </w:r>
                  <w:r>
                    <w:rPr>
                      <w:rFonts w:hint="eastAsia" w:ascii="TimesNewRomanPSMT" w:hAnsi="TimesNewRomanPSMT" w:eastAsia="TimesNewRomanPSMT"/>
                      <w:color w:val="000000" w:themeColor="text1"/>
                      <w:sz w:val="21"/>
                      <w:szCs w:val="24"/>
                      <w:highlight w:val="none"/>
                      <w14:textFill>
                        <w14:solidFill>
                          <w14:schemeClr w14:val="tx1"/>
                        </w14:solidFill>
                      </w14:textFill>
                    </w:rPr>
                    <w:t>2019</w:t>
                  </w:r>
                  <w:r>
                    <w:rPr>
                      <w:rFonts w:hint="eastAsia" w:ascii="宋体" w:hAnsi="宋体" w:eastAsia="宋体"/>
                      <w:color w:val="000000" w:themeColor="text1"/>
                      <w:sz w:val="21"/>
                      <w:szCs w:val="24"/>
                      <w:highlight w:val="none"/>
                      <w14:textFill>
                        <w14:solidFill>
                          <w14:schemeClr w14:val="tx1"/>
                        </w14:solidFill>
                      </w14:textFill>
                    </w:rPr>
                    <w:t>〕</w:t>
                  </w:r>
                  <w:r>
                    <w:rPr>
                      <w:rFonts w:hint="eastAsia" w:ascii="TimesNewRomanPSMT" w:hAnsi="TimesNewRomanPSMT" w:eastAsia="TimesNewRomanPSMT"/>
                      <w:color w:val="000000" w:themeColor="text1"/>
                      <w:sz w:val="21"/>
                      <w:szCs w:val="24"/>
                      <w:highlight w:val="none"/>
                      <w14:textFill>
                        <w14:solidFill>
                          <w14:schemeClr w14:val="tx1"/>
                        </w14:solidFill>
                      </w14:textFill>
                    </w:rPr>
                    <w:t>1</w:t>
                  </w:r>
                  <w:r>
                    <w:rPr>
                      <w:rFonts w:hint="eastAsia" w:ascii="宋体" w:hAnsi="宋体" w:eastAsia="宋体"/>
                      <w:color w:val="000000" w:themeColor="text1"/>
                      <w:sz w:val="21"/>
                      <w:szCs w:val="24"/>
                      <w:highlight w:val="none"/>
                      <w14:textFill>
                        <w14:solidFill>
                          <w14:schemeClr w14:val="tx1"/>
                        </w14:solidFill>
                      </w14:textFill>
                    </w:rPr>
                    <w:t>号）中申请条件、土壤剥离、复垦验收等有关规定。</w:t>
                  </w:r>
                </w:p>
                <w:p w14:paraId="13CF29F0">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使用期限一般不超过两年。建设周期较长的能源、交通、水利等基础设施建设项目施工使用的临时用地，期限不超过四年。城镇开发边界内临时建设用地规划许可、临时建设工程规划许可的期限应当与临时用地期限相衔接。临时用地使用期限，从批准之日起算。</w:t>
                  </w:r>
                </w:p>
              </w:tc>
              <w:tc>
                <w:tcPr>
                  <w:tcW w:w="865" w:type="pct"/>
                  <w:vAlign w:val="center"/>
                </w:tcPr>
                <w:p w14:paraId="6124885C">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项目所在地目前土地性质为</w:t>
                  </w:r>
                  <w:r>
                    <w:rPr>
                      <w:rFonts w:hint="eastAsia" w:ascii="宋体" w:hAnsi="宋体" w:eastAsia="宋体"/>
                      <w:color w:val="000000" w:themeColor="text1"/>
                      <w:sz w:val="21"/>
                      <w:szCs w:val="24"/>
                      <w:highlight w:val="none"/>
                      <w:lang w:eastAsia="zh-CN"/>
                      <w14:textFill>
                        <w14:solidFill>
                          <w14:schemeClr w14:val="tx1"/>
                        </w14:solidFill>
                      </w14:textFill>
                    </w:rPr>
                    <w:t>工业用地</w:t>
                  </w:r>
                  <w:r>
                    <w:rPr>
                      <w:rFonts w:hint="eastAsia" w:ascii="宋体" w:hAnsi="宋体" w:eastAsia="宋体"/>
                      <w:color w:val="000000" w:themeColor="text1"/>
                      <w:sz w:val="21"/>
                      <w:szCs w:val="24"/>
                      <w:highlight w:val="none"/>
                      <w14:textFill>
                        <w14:solidFill>
                          <w14:schemeClr w14:val="tx1"/>
                        </w14:solidFill>
                      </w14:textFill>
                    </w:rPr>
                    <w:t>，不属于</w:t>
                  </w:r>
                  <w:r>
                    <w:rPr>
                      <w:rFonts w:hint="eastAsia" w:ascii="宋体" w:hAnsi="宋体" w:eastAsia="宋体"/>
                      <w:color w:val="000000" w:themeColor="text1"/>
                      <w:sz w:val="21"/>
                      <w:szCs w:val="24"/>
                      <w:highlight w:val="none"/>
                      <w:lang w:eastAsia="zh-CN"/>
                      <w14:textFill>
                        <w14:solidFill>
                          <w14:schemeClr w14:val="tx1"/>
                        </w14:solidFill>
                      </w14:textFill>
                    </w:rPr>
                    <w:t>耕地和永久</w:t>
                  </w:r>
                  <w:r>
                    <w:rPr>
                      <w:rFonts w:hint="eastAsia" w:ascii="宋体" w:hAnsi="宋体" w:eastAsia="宋体"/>
                      <w:color w:val="000000" w:themeColor="text1"/>
                      <w:sz w:val="21"/>
                      <w:szCs w:val="24"/>
                      <w:highlight w:val="none"/>
                      <w14:textFill>
                        <w14:solidFill>
                          <w14:schemeClr w14:val="tx1"/>
                        </w14:solidFill>
                      </w14:textFill>
                    </w:rPr>
                    <w:t>基本农田。</w:t>
                  </w:r>
                  <w:r>
                    <w:rPr>
                      <w:rFonts w:hint="eastAsia" w:ascii="宋体" w:hAnsi="宋体" w:eastAsia="宋体"/>
                      <w:color w:val="000000" w:themeColor="text1"/>
                      <w:sz w:val="21"/>
                      <w:szCs w:val="24"/>
                      <w:highlight w:val="none"/>
                      <w:lang w:eastAsia="zh-CN"/>
                      <w14:textFill>
                        <w14:solidFill>
                          <w14:schemeClr w14:val="tx1"/>
                        </w14:solidFill>
                      </w14:textFill>
                    </w:rPr>
                    <w:t>本项目用地时限为三年，</w:t>
                  </w: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将</w:t>
                  </w:r>
                  <w:r>
                    <w:rPr>
                      <w:rFonts w:hint="eastAsia" w:ascii="宋体" w:hAnsi="宋体" w:eastAsia="宋体"/>
                      <w:color w:val="000000" w:themeColor="text1"/>
                      <w:sz w:val="21"/>
                      <w:szCs w:val="24"/>
                      <w:highlight w:val="none"/>
                      <w14:textFill>
                        <w14:solidFill>
                          <w14:schemeClr w14:val="tx1"/>
                        </w14:solidFill>
                      </w14:textFill>
                    </w:rPr>
                    <w:t>严格控制占地范围。</w:t>
                  </w:r>
                </w:p>
              </w:tc>
              <w:tc>
                <w:tcPr>
                  <w:tcW w:w="447" w:type="pct"/>
                  <w:vAlign w:val="center"/>
                </w:tcPr>
                <w:p w14:paraId="18CB51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1F81B3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19" w:type="pct"/>
                  <w:vAlign w:val="center"/>
                </w:tcPr>
                <w:p w14:paraId="743BF548">
                  <w:pPr>
                    <w:keepNext w:val="0"/>
                    <w:keepLines w:val="0"/>
                    <w:pageBreakBefore w:val="0"/>
                    <w:widowControl w:val="0"/>
                    <w:kinsoku/>
                    <w:wordWrap/>
                    <w:overflowPunct/>
                    <w:topLinePunct w:val="0"/>
                    <w:autoSpaceDE/>
                    <w:autoSpaceDN/>
                    <w:bidi w:val="0"/>
                    <w:adjustRightInd w:val="0"/>
                    <w:snapToGrid w:val="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四、落实临时用地恢复责任</w:t>
                  </w:r>
                </w:p>
              </w:tc>
              <w:tc>
                <w:tcPr>
                  <w:tcW w:w="3366" w:type="pct"/>
                  <w:vAlign w:val="center"/>
                </w:tcPr>
                <w:p w14:paraId="6DE527FC">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使用人应当按照批准的用途使用土地，不得转让、出租、抵押临时用地。临时用地使用人应当自临时用地期满之日起一年内完成土地复垦，因气候、灾害等不可抗力因素影响复垦的，经批准可以适当延长复垦期限。</w:t>
                  </w:r>
                </w:p>
                <w:p w14:paraId="45B57985">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严格落实临时用地恢复责任，临时用地期满后应当拆除临时建（构）筑物，使用耕地的应当复垦为耕地，确保耕地面积不减少、质量不降低；使用耕地以外的其他农用地的应当恢复为农用地；使用未利用地的，对于符合条件的鼓励复垦为耕地。</w:t>
                  </w:r>
                </w:p>
                <w:p w14:paraId="20736A9C">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县（市）自然资源主管部门依法监督临时用地使用人履行复垦义务情况，对逾期不恢复种植条件、违反土地复垦规定的行为，责令限期改正，并依照法律法规的规定进行处罚。按年度统计，县（市）范围内的临时用地，超期一年以上未完成土地复垦规模达到应复垦规模</w:t>
                  </w:r>
                  <w:r>
                    <w:rPr>
                      <w:rFonts w:hint="eastAsia" w:ascii="TimesNewRomanPSMT" w:hAnsi="TimesNewRomanPSMT" w:eastAsia="TimesNewRomanPSMT"/>
                      <w:color w:val="000000" w:themeColor="text1"/>
                      <w:sz w:val="21"/>
                      <w:szCs w:val="24"/>
                      <w:highlight w:val="none"/>
                      <w14:textFill>
                        <w14:solidFill>
                          <w14:schemeClr w14:val="tx1"/>
                        </w14:solidFill>
                      </w14:textFill>
                    </w:rPr>
                    <w:t>20%</w:t>
                  </w:r>
                  <w:r>
                    <w:rPr>
                      <w:rFonts w:hint="eastAsia" w:ascii="宋体" w:hAnsi="宋体" w:eastAsia="宋体"/>
                      <w:color w:val="000000" w:themeColor="text1"/>
                      <w:sz w:val="21"/>
                      <w:szCs w:val="24"/>
                      <w:highlight w:val="none"/>
                      <w14:textFill>
                        <w14:solidFill>
                          <w14:schemeClr w14:val="tx1"/>
                        </w14:solidFill>
                      </w14:textFill>
                    </w:rPr>
                    <w:t>以上的，省级自然资源主管部门应当要求所在县（市）暂停审批新的临时用地，根据县（市）整改情况恢复审批。</w:t>
                  </w:r>
                </w:p>
              </w:tc>
              <w:tc>
                <w:tcPr>
                  <w:tcW w:w="865" w:type="pct"/>
                  <w:vAlign w:val="center"/>
                </w:tcPr>
                <w:p w14:paraId="6AE6CBC5">
                  <w:pPr>
                    <w:keepNext w:val="0"/>
                    <w:keepLines w:val="0"/>
                    <w:pageBreakBefore w:val="0"/>
                    <w:widowControl w:val="0"/>
                    <w:kinsoku/>
                    <w:wordWrap/>
                    <w:overflowPunct/>
                    <w:topLinePunct w:val="0"/>
                    <w:autoSpaceDE/>
                    <w:autoSpaceDN/>
                    <w:bidi w:val="0"/>
                    <w:adjustRightInd w:val="0"/>
                    <w:snapToGrid w:val="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项目用地不进行转让、出租、抵押。项目</w:t>
                  </w:r>
                  <w:r>
                    <w:rPr>
                      <w:rFonts w:hint="eastAsia" w:ascii="宋体" w:hAnsi="宋体" w:eastAsia="宋体"/>
                      <w:color w:val="000000" w:themeColor="text1"/>
                      <w:sz w:val="21"/>
                      <w:szCs w:val="24"/>
                      <w:highlight w:val="none"/>
                      <w:lang w:eastAsia="zh-CN"/>
                      <w14:textFill>
                        <w14:solidFill>
                          <w14:schemeClr w14:val="tx1"/>
                        </w14:solidFill>
                      </w14:textFill>
                    </w:rPr>
                    <w:t>位于工业园区内，用地性质为工业用地，根据蓬溪经开区、县交运局、中交三航局有限公司、土石方项目实际承包人四方签订场地租用协议</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（见附件5-1），协议认定中交三航局有限公司租期结束后无偿退出并按约定期限归还移交给蓬溪开发区，无需进行土地复垦（见附件5-2）</w:t>
                  </w:r>
                  <w:r>
                    <w:rPr>
                      <w:rFonts w:hint="default" w:ascii="Times New Roman" w:hAnsi="Times New Roman" w:eastAsia="宋体" w:cs="Times New Roman"/>
                      <w:color w:val="000000" w:themeColor="text1"/>
                      <w:sz w:val="21"/>
                      <w:szCs w:val="24"/>
                      <w:highlight w:val="none"/>
                      <w14:textFill>
                        <w14:solidFill>
                          <w14:schemeClr w14:val="tx1"/>
                        </w14:solidFill>
                      </w14:textFill>
                    </w:rPr>
                    <w:t>。</w:t>
                  </w:r>
                </w:p>
              </w:tc>
              <w:tc>
                <w:tcPr>
                  <w:tcW w:w="447" w:type="pct"/>
                  <w:vAlign w:val="center"/>
                </w:tcPr>
                <w:p w14:paraId="707D99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符合</w:t>
                  </w:r>
                </w:p>
              </w:tc>
            </w:tr>
          </w:tbl>
          <w:p w14:paraId="617FBC5A">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由上表分析可知，本项目建设符合《自然资源部关于规范临时用地管理的通知》（自然资规〔2021〕2号）相关要求。</w:t>
            </w:r>
          </w:p>
          <w:p w14:paraId="26C07675">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eastAsia="宋体"/>
                <w:b/>
                <w:bCs/>
                <w:color w:val="000000" w:themeColor="text1"/>
                <w:kern w:val="2"/>
                <w:highlight w:val="none"/>
                <w:lang w:eastAsia="zh-CN"/>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八、与《四川省自然资源厅关于进一步明确临时用地管理有关事项的通知》（川自然资规〔2022〕3号）符合性分析</w:t>
            </w:r>
          </w:p>
          <w:p w14:paraId="62965BBD">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根据《四川省自然资源厅关于进一步明确临时用地管理有关事项的通知》（川自然资规〔2022〕3 号）的要求，其符合性分析如下：</w:t>
            </w:r>
          </w:p>
          <w:p w14:paraId="5E06403C">
            <w:pPr>
              <w:pStyle w:val="41"/>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bCs/>
                <w:color w:val="000000" w:themeColor="text1"/>
                <w:kern w:val="2"/>
                <w:sz w:val="21"/>
                <w:szCs w:val="21"/>
                <w:highlight w:val="none"/>
                <w:lang w:eastAsia="zh-CN"/>
                <w14:textFill>
                  <w14:solidFill>
                    <w14:schemeClr w14:val="tx1"/>
                  </w14:solidFill>
                </w14:textFill>
              </w:rPr>
              <w:t>表</w:t>
            </w:r>
            <w:r>
              <w:rPr>
                <w:rFonts w:hint="eastAsia" w:eastAsia="宋体"/>
                <w:b/>
                <w:bCs/>
                <w:color w:val="000000" w:themeColor="text1"/>
                <w:kern w:val="2"/>
                <w:sz w:val="21"/>
                <w:szCs w:val="21"/>
                <w:highlight w:val="none"/>
                <w:lang w:val="en-US" w:eastAsia="zh-CN"/>
                <w14:textFill>
                  <w14:solidFill>
                    <w14:schemeClr w14:val="tx1"/>
                  </w14:solidFill>
                </w14:textFill>
              </w:rPr>
              <w:t>1-7</w:t>
            </w:r>
            <w:r>
              <w:rPr>
                <w:rFonts w:hint="eastAsia" w:eastAsia="宋体"/>
                <w:b/>
                <w:bCs/>
                <w:color w:val="000000" w:themeColor="text1"/>
                <w:kern w:val="2"/>
                <w:sz w:val="21"/>
                <w:szCs w:val="21"/>
                <w:highlight w:val="none"/>
                <w:lang w:eastAsia="zh-CN"/>
                <w14:textFill>
                  <w14:solidFill>
                    <w14:schemeClr w14:val="tx1"/>
                  </w14:solidFill>
                </w14:textFill>
              </w:rPr>
              <w:t>与《四川省自然资源厅关于进一步明确临时用地管理有关事项的通知》符合性</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1"/>
              <w:gridCol w:w="4337"/>
              <w:gridCol w:w="2052"/>
              <w:gridCol w:w="698"/>
            </w:tblGrid>
            <w:tr w14:paraId="363C51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48D3C6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序号</w:t>
                  </w:r>
                </w:p>
              </w:tc>
              <w:tc>
                <w:tcPr>
                  <w:tcW w:w="2780" w:type="pct"/>
                  <w:vAlign w:val="center"/>
                </w:tcPr>
                <w:p w14:paraId="372E11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文件</w:t>
                  </w:r>
                  <w:r>
                    <w:rPr>
                      <w:rFonts w:ascii="Times New Roman" w:hAnsi="Times New Roman" w:eastAsia="宋体"/>
                      <w:b/>
                      <w:bCs/>
                      <w:color w:val="000000" w:themeColor="text1"/>
                      <w:szCs w:val="21"/>
                      <w:highlight w:val="none"/>
                      <w14:textFill>
                        <w14:solidFill>
                          <w14:schemeClr w14:val="tx1"/>
                        </w14:solidFill>
                      </w14:textFill>
                    </w:rPr>
                    <w:t>要求</w:t>
                  </w:r>
                </w:p>
              </w:tc>
              <w:tc>
                <w:tcPr>
                  <w:tcW w:w="1315" w:type="pct"/>
                  <w:vAlign w:val="center"/>
                </w:tcPr>
                <w:p w14:paraId="78BB87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本项目</w:t>
                  </w:r>
                  <w:r>
                    <w:rPr>
                      <w:rFonts w:hint="eastAsia" w:ascii="Times New Roman" w:hAnsi="Times New Roman" w:eastAsia="宋体"/>
                      <w:b/>
                      <w:bCs/>
                      <w:color w:val="000000" w:themeColor="text1"/>
                      <w:szCs w:val="21"/>
                      <w:highlight w:val="none"/>
                      <w14:textFill>
                        <w14:solidFill>
                          <w14:schemeClr w14:val="tx1"/>
                        </w14:solidFill>
                      </w14:textFill>
                    </w:rPr>
                    <w:t>情况</w:t>
                  </w:r>
                </w:p>
              </w:tc>
              <w:tc>
                <w:tcPr>
                  <w:tcW w:w="447" w:type="pct"/>
                  <w:vAlign w:val="center"/>
                </w:tcPr>
                <w:p w14:paraId="7DAF73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符合性</w:t>
                  </w:r>
                </w:p>
              </w:tc>
            </w:tr>
            <w:tr w14:paraId="6F0324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0B1B0722">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一、进一步规范临时用地审批。</w:t>
                  </w:r>
                </w:p>
              </w:tc>
              <w:tc>
                <w:tcPr>
                  <w:tcW w:w="2780" w:type="pct"/>
                  <w:vAlign w:val="center"/>
                </w:tcPr>
                <w:p w14:paraId="519BE6BD">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临时用地审批权不得下放或委托相关部门行使。涉及占用耕地和永久基本农田的临时用地，由市级自然资源主管部门负责审批</w:t>
                  </w:r>
                  <w:r>
                    <w:rPr>
                      <w:rFonts w:hint="eastAsia" w:ascii="TimesNewRomanPSMT" w:hAnsi="TimesNewRomanPSMT" w:eastAsia="宋体"/>
                      <w:color w:val="000000" w:themeColor="text1"/>
                      <w:sz w:val="21"/>
                      <w:szCs w:val="24"/>
                      <w:highlight w:val="none"/>
                      <w:lang w:eastAsia="zh-CN"/>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不涉及的由县级自然资源主管部门负责审批。需要临时使用林地的，应当按照《中华人民共和国森林法》有关规定进行临时用地审批。临时用地位于地质灾害易发区进行工程建设的，申请人应按照《地质灾害防治条例》有关规定提供地质灾害危险性评估报告，并落实防治措施。</w:t>
                  </w:r>
                </w:p>
              </w:tc>
              <w:tc>
                <w:tcPr>
                  <w:tcW w:w="1315" w:type="pct"/>
                  <w:vAlign w:val="center"/>
                </w:tcPr>
                <w:p w14:paraId="04E20F4C">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项目所在地目前土地性质为</w:t>
                  </w:r>
                  <w:r>
                    <w:rPr>
                      <w:rFonts w:hint="eastAsia" w:ascii="宋体" w:hAnsi="宋体" w:eastAsia="宋体"/>
                      <w:color w:val="000000" w:themeColor="text1"/>
                      <w:sz w:val="21"/>
                      <w:szCs w:val="24"/>
                      <w:highlight w:val="none"/>
                      <w:lang w:eastAsia="zh-CN"/>
                      <w14:textFill>
                        <w14:solidFill>
                          <w14:schemeClr w14:val="tx1"/>
                        </w14:solidFill>
                      </w14:textFill>
                    </w:rPr>
                    <w:t>工业用地</w:t>
                  </w:r>
                  <w:r>
                    <w:rPr>
                      <w:rFonts w:hint="eastAsia" w:ascii="宋体" w:hAnsi="宋体" w:eastAsia="宋体"/>
                      <w:color w:val="000000" w:themeColor="text1"/>
                      <w:sz w:val="21"/>
                      <w:szCs w:val="24"/>
                      <w:highlight w:val="none"/>
                      <w14:textFill>
                        <w14:solidFill>
                          <w14:schemeClr w14:val="tx1"/>
                        </w14:solidFill>
                      </w14:textFill>
                    </w:rPr>
                    <w:t>，不属于</w:t>
                  </w:r>
                  <w:r>
                    <w:rPr>
                      <w:rFonts w:hint="eastAsia" w:ascii="宋体" w:hAnsi="宋体" w:eastAsia="宋体"/>
                      <w:color w:val="000000" w:themeColor="text1"/>
                      <w:sz w:val="21"/>
                      <w:szCs w:val="24"/>
                      <w:highlight w:val="none"/>
                      <w:lang w:eastAsia="zh-CN"/>
                      <w14:textFill>
                        <w14:solidFill>
                          <w14:schemeClr w14:val="tx1"/>
                        </w14:solidFill>
                      </w14:textFill>
                    </w:rPr>
                    <w:t>耕地、永久</w:t>
                  </w:r>
                  <w:r>
                    <w:rPr>
                      <w:rFonts w:hint="eastAsia" w:ascii="宋体" w:hAnsi="宋体" w:eastAsia="宋体"/>
                      <w:color w:val="000000" w:themeColor="text1"/>
                      <w:sz w:val="21"/>
                      <w:szCs w:val="24"/>
                      <w:highlight w:val="none"/>
                      <w14:textFill>
                        <w14:solidFill>
                          <w14:schemeClr w14:val="tx1"/>
                        </w14:solidFill>
                      </w14:textFill>
                    </w:rPr>
                    <w:t>基本农田</w:t>
                  </w:r>
                  <w:r>
                    <w:rPr>
                      <w:rFonts w:hint="eastAsia" w:ascii="宋体" w:hAnsi="宋体" w:eastAsia="宋体"/>
                      <w:color w:val="000000" w:themeColor="text1"/>
                      <w:sz w:val="21"/>
                      <w:szCs w:val="24"/>
                      <w:highlight w:val="none"/>
                      <w:lang w:eastAsia="zh-CN"/>
                      <w14:textFill>
                        <w14:solidFill>
                          <w14:schemeClr w14:val="tx1"/>
                        </w14:solidFill>
                      </w14:textFill>
                    </w:rPr>
                    <w:t>及林地</w:t>
                  </w:r>
                  <w:r>
                    <w:rPr>
                      <w:rFonts w:hint="eastAsia" w:ascii="宋体" w:hAnsi="宋体" w:eastAsia="宋体"/>
                      <w:color w:val="000000" w:themeColor="text1"/>
                      <w:sz w:val="21"/>
                      <w:szCs w:val="24"/>
                      <w:highlight w:val="none"/>
                      <w14:textFill>
                        <w14:solidFill>
                          <w14:schemeClr w14:val="tx1"/>
                        </w14:solidFill>
                      </w14:textFill>
                    </w:rPr>
                    <w:t>。</w:t>
                  </w:r>
                </w:p>
              </w:tc>
              <w:tc>
                <w:tcPr>
                  <w:tcW w:w="447" w:type="pct"/>
                  <w:vAlign w:val="center"/>
                </w:tcPr>
                <w:p w14:paraId="2E7A29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1626D7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56B70E12">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二、进一步落实临时用地恢复责任。</w:t>
                  </w:r>
                </w:p>
              </w:tc>
              <w:tc>
                <w:tcPr>
                  <w:tcW w:w="2780" w:type="pct"/>
                  <w:vAlign w:val="center"/>
                </w:tcPr>
                <w:p w14:paraId="5FA7CBC6">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县级自然资源主管部门负责审查临时用地土地复垦方案，并在土地复垦义务人完成复垦工作后，会同农业农村等相关部门开展复垦验收。审批临时用地的市、县级自然资源主管部门，应通知申请人根据《土地复垦条例实施办法》有关规定办理土地复垦费用预存手续。</w:t>
                  </w:r>
                </w:p>
              </w:tc>
              <w:tc>
                <w:tcPr>
                  <w:tcW w:w="1315" w:type="pct"/>
                  <w:vAlign w:val="center"/>
                </w:tcPr>
                <w:p w14:paraId="3E551758">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位于工业园区内，用地性质为工业用地，根据蓬溪经开区、县交运局、中交三航局有限公司、土石方项目实际承包人四方签订场地租用协议</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（见附件5-1），协议认定中交三航局有限公司租期结束后无偿退出并按约定期限归还移交给蓬溪开发区，无需进行土地复垦（见附件5-2）</w:t>
                  </w:r>
                  <w:r>
                    <w:rPr>
                      <w:rFonts w:hint="default" w:ascii="Times New Roman" w:hAnsi="Times New Roman" w:eastAsia="宋体" w:cs="Times New Roman"/>
                      <w:color w:val="000000" w:themeColor="text1"/>
                      <w:sz w:val="21"/>
                      <w:szCs w:val="24"/>
                      <w:highlight w:val="none"/>
                      <w14:textFill>
                        <w14:solidFill>
                          <w14:schemeClr w14:val="tx1"/>
                        </w14:solidFill>
                      </w14:textFill>
                    </w:rPr>
                    <w:t>。</w:t>
                  </w:r>
                </w:p>
              </w:tc>
              <w:tc>
                <w:tcPr>
                  <w:tcW w:w="447" w:type="pct"/>
                  <w:vAlign w:val="center"/>
                </w:tcPr>
                <w:p w14:paraId="341EAB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76D3C5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397053FC">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三、进一步强化永久基本农田特殊保护</w:t>
                  </w:r>
                  <w:r>
                    <w:rPr>
                      <w:rFonts w:hint="eastAsia" w:ascii="宋体" w:hAnsi="宋体" w:eastAsia="宋体"/>
                      <w:color w:val="000000" w:themeColor="text1"/>
                      <w:sz w:val="21"/>
                      <w:szCs w:val="24"/>
                      <w:highlight w:val="none"/>
                      <w:lang w:eastAsia="zh-CN"/>
                      <w14:textFill>
                        <w14:solidFill>
                          <w14:schemeClr w14:val="tx1"/>
                        </w14:solidFill>
                      </w14:textFill>
                    </w:rPr>
                    <w:t>。</w:t>
                  </w:r>
                </w:p>
              </w:tc>
              <w:tc>
                <w:tcPr>
                  <w:tcW w:w="2780" w:type="pct"/>
                  <w:vAlign w:val="center"/>
                </w:tcPr>
                <w:p w14:paraId="25E1E4C4">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市、县级自然资源主管部门要严格耕地用途管制，临时用地应尽量不占或少占耕地，原则上不占用永久基本农田。确需占用永久基本农田的，县级自然资源主管部门应在前期选址阶段，实地核实永久基本农田地块的空间位置、地类、面积、质量状况、利用现状等，组织编制临时用地踏勘报告，并对占用永久基本农田的必要性和合理性进行严格论证，报市级自然资源主管部门审查。</w:t>
                  </w:r>
                </w:p>
              </w:tc>
              <w:tc>
                <w:tcPr>
                  <w:tcW w:w="1315" w:type="pct"/>
                  <w:vAlign w:val="center"/>
                </w:tcPr>
                <w:p w14:paraId="7C9DE104">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项目所在地目前土地性质为</w:t>
                  </w:r>
                  <w:r>
                    <w:rPr>
                      <w:rFonts w:hint="eastAsia" w:ascii="宋体" w:hAnsi="宋体" w:eastAsia="宋体"/>
                      <w:color w:val="000000" w:themeColor="text1"/>
                      <w:sz w:val="21"/>
                      <w:szCs w:val="24"/>
                      <w:highlight w:val="none"/>
                      <w:lang w:eastAsia="zh-CN"/>
                      <w14:textFill>
                        <w14:solidFill>
                          <w14:schemeClr w14:val="tx1"/>
                        </w14:solidFill>
                      </w14:textFill>
                    </w:rPr>
                    <w:t>工业用地</w:t>
                  </w:r>
                  <w:r>
                    <w:rPr>
                      <w:rFonts w:hint="eastAsia" w:ascii="宋体" w:hAnsi="宋体" w:eastAsia="宋体"/>
                      <w:color w:val="000000" w:themeColor="text1"/>
                      <w:sz w:val="21"/>
                      <w:szCs w:val="24"/>
                      <w:highlight w:val="none"/>
                      <w14:textFill>
                        <w14:solidFill>
                          <w14:schemeClr w14:val="tx1"/>
                        </w14:solidFill>
                      </w14:textFill>
                    </w:rPr>
                    <w:t>，不属于</w:t>
                  </w:r>
                  <w:r>
                    <w:rPr>
                      <w:rFonts w:hint="eastAsia" w:ascii="宋体" w:hAnsi="宋体" w:eastAsia="宋体"/>
                      <w:color w:val="000000" w:themeColor="text1"/>
                      <w:sz w:val="21"/>
                      <w:szCs w:val="24"/>
                      <w:highlight w:val="none"/>
                      <w:lang w:eastAsia="zh-CN"/>
                      <w14:textFill>
                        <w14:solidFill>
                          <w14:schemeClr w14:val="tx1"/>
                        </w14:solidFill>
                      </w14:textFill>
                    </w:rPr>
                    <w:t>耕地、永久</w:t>
                  </w:r>
                  <w:r>
                    <w:rPr>
                      <w:rFonts w:hint="eastAsia" w:ascii="宋体" w:hAnsi="宋体" w:eastAsia="宋体"/>
                      <w:color w:val="000000" w:themeColor="text1"/>
                      <w:sz w:val="21"/>
                      <w:szCs w:val="24"/>
                      <w:highlight w:val="none"/>
                      <w14:textFill>
                        <w14:solidFill>
                          <w14:schemeClr w14:val="tx1"/>
                        </w14:solidFill>
                      </w14:textFill>
                    </w:rPr>
                    <w:t>基本农田</w:t>
                  </w:r>
                </w:p>
              </w:tc>
              <w:tc>
                <w:tcPr>
                  <w:tcW w:w="447" w:type="pct"/>
                  <w:vAlign w:val="center"/>
                </w:tcPr>
                <w:p w14:paraId="17C949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r w14:paraId="0A63FF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55" w:type="pct"/>
                  <w:vAlign w:val="center"/>
                </w:tcPr>
                <w:p w14:paraId="217477B8">
                  <w:pPr>
                    <w:keepNext w:val="0"/>
                    <w:keepLines w:val="0"/>
                    <w:pageBreakBefore w:val="0"/>
                    <w:widowControl w:val="0"/>
                    <w:kinsoku/>
                    <w:wordWrap/>
                    <w:overflowPunct/>
                    <w:topLinePunct w:val="0"/>
                    <w:autoSpaceDE/>
                    <w:autoSpaceDN/>
                    <w:bidi w:val="0"/>
                    <w:adjustRightInd w:val="0"/>
                    <w:snapToGrid w:val="0"/>
                    <w:spacing w:beforeLines="0" w:afterLines="0"/>
                    <w:jc w:val="left"/>
                    <w:textAlignment w:val="auto"/>
                    <w:rPr>
                      <w:rFonts w:hint="eastAsia" w:ascii="宋体" w:hAnsi="宋体" w:eastAsia="宋体"/>
                      <w:color w:val="000000" w:themeColor="text1"/>
                      <w:sz w:val="21"/>
                      <w:szCs w:val="24"/>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四、进一步严格临时用地监管</w:t>
                  </w:r>
                  <w:r>
                    <w:rPr>
                      <w:rFonts w:hint="eastAsia" w:ascii="宋体" w:hAnsi="宋体" w:eastAsia="宋体"/>
                      <w:color w:val="000000" w:themeColor="text1"/>
                      <w:sz w:val="21"/>
                      <w:szCs w:val="24"/>
                      <w:highlight w:val="none"/>
                      <w:lang w:eastAsia="zh-CN"/>
                      <w14:textFill>
                        <w14:solidFill>
                          <w14:schemeClr w14:val="tx1"/>
                        </w14:solidFill>
                      </w14:textFill>
                    </w:rPr>
                    <w:t>。</w:t>
                  </w:r>
                </w:p>
              </w:tc>
              <w:tc>
                <w:tcPr>
                  <w:tcW w:w="2780" w:type="pct"/>
                  <w:vAlign w:val="center"/>
                </w:tcPr>
                <w:p w14:paraId="294756D7">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市、县级自然资源主管部门应按照相关规定对临时用地选址、审批、备案、使用、复垦进行严格审核把关、依法监督检查，严禁违规认定临时用地</w:t>
                  </w:r>
                  <w:r>
                    <w:rPr>
                      <w:rFonts w:hint="eastAsia" w:ascii="TimesNewRomanPSMT" w:hAnsi="TimesNewRomanPSMT" w:eastAsia="TimesNewRomanPSMT"/>
                      <w:color w:val="000000" w:themeColor="text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严禁在法律法规规定的禁止区域审批临时用地，严禁擅自扩大临时用地审批范围和延长使用期限，严禁以临时用地名义规避建设用地审批手续特别是建设占用耕地和永久基本农田，要坚持节约集约用地，切实保障临时用地依法管理、有序使用、及时恢复。</w:t>
                  </w:r>
                </w:p>
                <w:p w14:paraId="5FAAC6D1">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按照“谁审批、谁备案”的原则，审批临时用地的市、县级自然资源主管部门负责按照《通知》有关规定完成临时用地信息系统备案工作。县级自然资源主管部门负责将临时用地占地范围以及批准文号以单独图层的方式统一纳入年度国土变更调查数据库</w:t>
                  </w:r>
                  <w:r>
                    <w:rPr>
                      <w:rFonts w:hint="eastAsia" w:ascii="TimesNewRomanPSMT" w:hAnsi="TimesNewRomanPSMT" w:eastAsia="TimesNewRomanPSMT"/>
                      <w:color w:val="000000" w:themeColor="text1"/>
                      <w:sz w:val="21"/>
                      <w:szCs w:val="24"/>
                      <w:highlight w:val="none"/>
                      <w14:textFill>
                        <w14:solidFill>
                          <w14:schemeClr w14:val="tx1"/>
                        </w14:solidFill>
                      </w14:textFill>
                    </w:rPr>
                    <w:t>,</w:t>
                  </w:r>
                  <w:r>
                    <w:rPr>
                      <w:rFonts w:hint="eastAsia" w:ascii="宋体" w:hAnsi="宋体" w:eastAsia="宋体"/>
                      <w:color w:val="000000" w:themeColor="text1"/>
                      <w:sz w:val="21"/>
                      <w:szCs w:val="24"/>
                      <w:highlight w:val="none"/>
                      <w14:textFill>
                        <w14:solidFill>
                          <w14:schemeClr w14:val="tx1"/>
                        </w14:solidFill>
                      </w14:textFill>
                    </w:rPr>
                    <w:t>并严格按照规定进行监测。</w:t>
                  </w:r>
                </w:p>
              </w:tc>
              <w:tc>
                <w:tcPr>
                  <w:tcW w:w="1315" w:type="pct"/>
                  <w:vAlign w:val="center"/>
                </w:tcPr>
                <w:p w14:paraId="62FBA2EC">
                  <w:pPr>
                    <w:keepNext w:val="0"/>
                    <w:keepLines w:val="0"/>
                    <w:pageBreakBefore w:val="0"/>
                    <w:widowControl w:val="0"/>
                    <w:kinsoku/>
                    <w:wordWrap/>
                    <w:overflowPunct/>
                    <w:topLinePunct w:val="0"/>
                    <w:autoSpaceDE/>
                    <w:autoSpaceDN/>
                    <w:bidi w:val="0"/>
                    <w:adjustRightInd w:val="0"/>
                    <w:snapToGrid w:val="0"/>
                    <w:spacing w:beforeLines="0" w:afterLines="0"/>
                    <w:ind w:firstLine="210" w:firstLineChars="100"/>
                    <w:jc w:val="left"/>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项目</w:t>
                  </w:r>
                  <w:r>
                    <w:rPr>
                      <w:rFonts w:hint="eastAsia" w:ascii="宋体" w:hAnsi="宋体" w:eastAsia="宋体"/>
                      <w:color w:val="000000" w:themeColor="text1"/>
                      <w:sz w:val="21"/>
                      <w:szCs w:val="24"/>
                      <w:highlight w:val="none"/>
                      <w:lang w:eastAsia="zh-CN"/>
                      <w14:textFill>
                        <w14:solidFill>
                          <w14:schemeClr w14:val="tx1"/>
                        </w14:solidFill>
                      </w14:textFill>
                    </w:rPr>
                    <w:t>位于工业园区内，用地性质为工业用地，根据蓬溪经开区、县交运局、中交三航局有限公司、土石方项目实际承包人四方签订场地租用协议</w:t>
                  </w:r>
                  <w:r>
                    <w:rPr>
                      <w:rFonts w:hint="default" w:ascii="Times New Roman" w:hAnsi="Times New Roman" w:eastAsia="宋体" w:cs="Times New Roman"/>
                      <w:color w:val="000000" w:themeColor="text1"/>
                      <w:sz w:val="21"/>
                      <w:szCs w:val="24"/>
                      <w:highlight w:val="none"/>
                      <w:lang w:eastAsia="zh-CN"/>
                      <w14:textFill>
                        <w14:solidFill>
                          <w14:schemeClr w14:val="tx1"/>
                        </w14:solidFill>
                      </w14:textFill>
                    </w:rPr>
                    <w:t>（见附件5-1），协议认定中交三航局有限公司租期结束后无偿退出并按约定期限归还移交给蓬溪开发区，无需进行土地复垦（见附件5-2）</w:t>
                  </w:r>
                  <w:r>
                    <w:rPr>
                      <w:rFonts w:hint="default" w:ascii="Times New Roman" w:hAnsi="Times New Roman" w:eastAsia="宋体" w:cs="Times New Roman"/>
                      <w:color w:val="000000" w:themeColor="text1"/>
                      <w:sz w:val="21"/>
                      <w:szCs w:val="24"/>
                      <w:highlight w:val="none"/>
                      <w14:textFill>
                        <w14:solidFill>
                          <w14:schemeClr w14:val="tx1"/>
                        </w14:solidFill>
                      </w14:textFill>
                    </w:rPr>
                    <w:t>。</w:t>
                  </w:r>
                </w:p>
              </w:tc>
              <w:tc>
                <w:tcPr>
                  <w:tcW w:w="447" w:type="pct"/>
                  <w:vAlign w:val="center"/>
                </w:tcPr>
                <w:p w14:paraId="385237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宋体" w:hAnsi="宋体" w:eastAsia="宋体"/>
                      <w:color w:val="000000" w:themeColor="text1"/>
                      <w:sz w:val="21"/>
                      <w:szCs w:val="24"/>
                      <w:highlight w:val="none"/>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符合</w:t>
                  </w:r>
                </w:p>
              </w:tc>
            </w:tr>
          </w:tbl>
          <w:p w14:paraId="228018C0">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480" w:firstLineChars="200"/>
              <w:textAlignment w:val="auto"/>
              <w:rPr>
                <w:rFonts w:hint="eastAsia" w:eastAsia="宋体"/>
                <w:b w:val="0"/>
                <w:bCs w:val="0"/>
                <w:color w:val="000000" w:themeColor="text1"/>
                <w:kern w:val="2"/>
                <w:highlight w:val="none"/>
                <w:lang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由上表分析可知，本项目建设符合《四川省自然资源厅关于进一步明确临时用地管理有关事项的通知》（川自然资规〔2022〕3号）相关要求。</w:t>
            </w:r>
          </w:p>
          <w:p w14:paraId="2BDCEB65">
            <w:pPr>
              <w:pStyle w:val="41"/>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eastAsia="宋体"/>
                <w:b/>
                <w:bCs/>
                <w:color w:val="000000" w:themeColor="text1"/>
                <w:kern w:val="2"/>
                <w:highlight w:val="none"/>
                <w:lang w:eastAsia="zh-CN"/>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九、与G42线南充至成都段高速公路扩容工程符合性分析</w:t>
            </w:r>
          </w:p>
          <w:p w14:paraId="65200A96">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2020年2月招商局重庆交通科研设计院有限公司编制完成了四川成南高速公路有限责任公司</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《G42线南充至成都段高速公路扩容工程环境影响报告书》，并于</w:t>
            </w:r>
            <w:r>
              <w:rPr>
                <w:rFonts w:hint="eastAsia" w:eastAsia="宋体"/>
                <w:b w:val="0"/>
                <w:bCs w:val="0"/>
                <w:color w:val="000000" w:themeColor="text1"/>
                <w:kern w:val="2"/>
                <w:highlight w:val="none"/>
                <w:lang w:val="en-US" w:eastAsia="zh-CN"/>
                <w14:textFill>
                  <w14:solidFill>
                    <w14:schemeClr w14:val="tx1"/>
                  </w14:solidFill>
                </w14:textFill>
              </w:rPr>
              <w:t>2020年3月5日取得《四川省生态环境厅关于G42线南充至成都段高速公路扩容工程环境影响报告书的批复》（川环审批【2020】29号）。</w:t>
            </w:r>
          </w:p>
          <w:p w14:paraId="29B99926">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w:t>
            </w:r>
            <w:r>
              <w:rPr>
                <w:rFonts w:hint="eastAsia" w:eastAsia="宋体"/>
                <w:b w:val="0"/>
                <w:bCs w:val="0"/>
                <w:color w:val="000000" w:themeColor="text1"/>
                <w:kern w:val="2"/>
                <w:highlight w:val="none"/>
                <w:lang w:val="en-US" w:eastAsia="zh-CN"/>
                <w14:textFill>
                  <w14:solidFill>
                    <w14:schemeClr w14:val="tx1"/>
                  </w14:solidFill>
                </w14:textFill>
              </w:rPr>
              <w:t>2.6.14施工生产生活区，内容如下：施工场地主要包括预制场、拌和场，施工驻地结合施工场地一并布设。结合项目沿线自然社会环境现状，道路沿线初步拟定了17处拌和场和16处预制场，施工驻地与拌和场合并设置。在施工场地设置中，特别是对于互通式立交工程较多，施工场地可利用新建互通式立交的永久占地区域设置，尽可能节约用地。</w:t>
            </w:r>
          </w:p>
          <w:p w14:paraId="1A0205AE">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1、预制场</w:t>
            </w:r>
          </w:p>
          <w:p w14:paraId="393A9476">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w:t>
            </w:r>
            <w:r>
              <w:rPr>
                <w:rFonts w:hint="eastAsia" w:eastAsia="宋体"/>
                <w:color w:val="000000" w:themeColor="text1"/>
                <w:kern w:val="2"/>
                <w:highlight w:val="none"/>
                <w:lang w:val="en-US" w:eastAsia="zh-CN"/>
                <w14:textFill>
                  <w14:solidFill>
                    <w14:schemeClr w14:val="tx1"/>
                  </w14:solidFill>
                </w14:textFill>
              </w:rPr>
              <w:t>共设置16处预制场，本次仅分析与遂宁市预制场（5处）符合性。</w:t>
            </w:r>
          </w:p>
          <w:p w14:paraId="49E7660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1-8</w:t>
            </w:r>
            <w:r>
              <w:rPr>
                <w:rFonts w:ascii="Times New Roman" w:hAnsi="Times New Roman" w:eastAsia="宋体"/>
                <w:b/>
                <w:bCs/>
                <w:color w:val="000000" w:themeColor="text1"/>
                <w:szCs w:val="21"/>
                <w:highlight w:val="none"/>
                <w:lang w:bidi="ar"/>
                <w14:textFill>
                  <w14:solidFill>
                    <w14:schemeClr w14:val="tx1"/>
                  </w14:solidFill>
                </w14:textFill>
              </w:rPr>
              <w:t xml:space="preserve">    </w:t>
            </w:r>
            <w:r>
              <w:rPr>
                <w:rFonts w:hint="default" w:ascii="Times New Roman" w:hAnsi="Times New Roman" w:eastAsia="宋体" w:cs="Times New Roman"/>
                <w:b/>
                <w:bCs/>
                <w:color w:val="000000" w:themeColor="text1"/>
                <w:kern w:val="2"/>
                <w:highlight w:val="none"/>
                <w:lang w:eastAsia="zh-CN"/>
                <w14:textFill>
                  <w14:solidFill>
                    <w14:schemeClr w14:val="tx1"/>
                  </w14:solidFill>
                </w14:textFill>
              </w:rPr>
              <w:t>与G42线南充至成都段高速公路扩容工程</w:t>
            </w:r>
            <w:r>
              <w:rPr>
                <w:rFonts w:hint="eastAsia" w:ascii="Times New Roman" w:hAnsi="Times New Roman" w:eastAsia="宋体" w:cs="Times New Roman"/>
                <w:b/>
                <w:bCs/>
                <w:color w:val="000000" w:themeColor="text1"/>
                <w:kern w:val="2"/>
                <w:highlight w:val="none"/>
                <w:lang w:eastAsia="zh-CN"/>
                <w14:textFill>
                  <w14:solidFill>
                    <w14:schemeClr w14:val="tx1"/>
                  </w14:solidFill>
                </w14:textFill>
              </w:rPr>
              <w:t>预制场</w:t>
            </w:r>
            <w:r>
              <w:rPr>
                <w:rFonts w:hint="default" w:ascii="Times New Roman" w:hAnsi="Times New Roman" w:eastAsia="宋体" w:cs="Times New Roman"/>
                <w:b/>
                <w:bCs/>
                <w:color w:val="000000" w:themeColor="text1"/>
                <w:kern w:val="2"/>
                <w:highlight w:val="none"/>
                <w:lang w:eastAsia="zh-CN"/>
                <w14:textFill>
                  <w14:solidFill>
                    <w14:schemeClr w14:val="tx1"/>
                  </w14:solidFill>
                </w14:textFill>
              </w:rPr>
              <w:t>符合性分析</w:t>
            </w:r>
          </w:p>
          <w:tbl>
            <w:tblPr>
              <w:tblStyle w:val="20"/>
              <w:tblW w:w="494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52"/>
              <w:gridCol w:w="537"/>
              <w:gridCol w:w="1112"/>
              <w:gridCol w:w="957"/>
              <w:gridCol w:w="1350"/>
              <w:gridCol w:w="1031"/>
              <w:gridCol w:w="1294"/>
              <w:gridCol w:w="735"/>
            </w:tblGrid>
            <w:tr w14:paraId="5E1867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1" w:type="pct"/>
                  <w:tcBorders>
                    <w:tl2br w:val="nil"/>
                    <w:tr2bl w:val="nil"/>
                  </w:tcBorders>
                  <w:vAlign w:val="center"/>
                </w:tcPr>
                <w:p w14:paraId="13D0A81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行政区划</w:t>
                  </w:r>
                </w:p>
              </w:tc>
              <w:tc>
                <w:tcPr>
                  <w:tcW w:w="341" w:type="pct"/>
                  <w:tcBorders>
                    <w:tl2br w:val="nil"/>
                    <w:tr2bl w:val="nil"/>
                  </w:tcBorders>
                  <w:vAlign w:val="center"/>
                </w:tcPr>
                <w:p w14:paraId="2EF5D4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序号</w:t>
                  </w:r>
                </w:p>
              </w:tc>
              <w:tc>
                <w:tcPr>
                  <w:tcW w:w="706" w:type="pct"/>
                  <w:tcBorders>
                    <w:tl2br w:val="nil"/>
                    <w:tr2bl w:val="nil"/>
                  </w:tcBorders>
                  <w:vAlign w:val="center"/>
                </w:tcPr>
                <w:p w14:paraId="16F1D3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桩号</w:t>
                  </w:r>
                </w:p>
              </w:tc>
              <w:tc>
                <w:tcPr>
                  <w:tcW w:w="608" w:type="pct"/>
                  <w:tcBorders>
                    <w:tl2br w:val="nil"/>
                    <w:tr2bl w:val="nil"/>
                  </w:tcBorders>
                  <w:vAlign w:val="center"/>
                </w:tcPr>
                <w:p w14:paraId="136CEC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占地面积</w:t>
                  </w:r>
                  <w:r>
                    <w:rPr>
                      <w:rFonts w:hint="eastAsia" w:ascii="Times New Roman" w:hAnsi="Times New Roman" w:eastAsia="宋体" w:cs="Times New Roman"/>
                      <w:b/>
                      <w:bCs/>
                      <w:color w:val="000000" w:themeColor="text1"/>
                      <w:szCs w:val="21"/>
                      <w:highlight w:val="none"/>
                      <w:lang w:val="en-US" w:eastAsia="zh-CN" w:bidi="ar"/>
                      <w14:textFill>
                        <w14:solidFill>
                          <w14:schemeClr w14:val="tx1"/>
                        </w14:solidFill>
                      </w14:textFill>
                    </w:rPr>
                    <w:t>hm</w:t>
                  </w:r>
                  <w:r>
                    <w:rPr>
                      <w:rFonts w:hint="eastAsia" w:ascii="Times New Roman" w:hAnsi="Times New Roman" w:eastAsia="宋体" w:cs="Times New Roman"/>
                      <w:b/>
                      <w:bCs/>
                      <w:color w:val="000000" w:themeColor="text1"/>
                      <w:szCs w:val="21"/>
                      <w:highlight w:val="none"/>
                      <w:vertAlign w:val="superscript"/>
                      <w:lang w:val="en-US" w:eastAsia="zh-CN" w:bidi="ar"/>
                      <w14:textFill>
                        <w14:solidFill>
                          <w14:schemeClr w14:val="tx1"/>
                        </w14:solidFill>
                      </w14:textFill>
                    </w:rPr>
                    <w:t>2</w:t>
                  </w:r>
                </w:p>
              </w:tc>
              <w:tc>
                <w:tcPr>
                  <w:tcW w:w="857" w:type="pct"/>
                  <w:tcBorders>
                    <w:tl2br w:val="nil"/>
                    <w:tr2bl w:val="nil"/>
                  </w:tcBorders>
                  <w:vAlign w:val="center"/>
                </w:tcPr>
                <w:p w14:paraId="0444B2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主要施工对象</w:t>
                  </w:r>
                </w:p>
              </w:tc>
              <w:tc>
                <w:tcPr>
                  <w:tcW w:w="655" w:type="pct"/>
                  <w:tcBorders>
                    <w:tl2br w:val="nil"/>
                    <w:tr2bl w:val="nil"/>
                  </w:tcBorders>
                  <w:vAlign w:val="center"/>
                </w:tcPr>
                <w:p w14:paraId="4EDD218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备注</w:t>
                  </w:r>
                </w:p>
              </w:tc>
              <w:tc>
                <w:tcPr>
                  <w:tcW w:w="822" w:type="pct"/>
                  <w:tcBorders>
                    <w:tl2br w:val="nil"/>
                    <w:tr2bl w:val="nil"/>
                  </w:tcBorders>
                  <w:vAlign w:val="center"/>
                </w:tcPr>
                <w:p w14:paraId="57997C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本项目情况</w:t>
                  </w:r>
                </w:p>
              </w:tc>
              <w:tc>
                <w:tcPr>
                  <w:tcW w:w="467" w:type="pct"/>
                  <w:tcBorders>
                    <w:tl2br w:val="nil"/>
                    <w:tr2bl w:val="nil"/>
                  </w:tcBorders>
                  <w:vAlign w:val="center"/>
                </w:tcPr>
                <w:p w14:paraId="43E2ED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符合性</w:t>
                  </w:r>
                </w:p>
              </w:tc>
            </w:tr>
            <w:tr w14:paraId="3483F5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1" w:type="pct"/>
                  <w:vMerge w:val="restart"/>
                  <w:tcBorders>
                    <w:tl2br w:val="nil"/>
                    <w:tr2bl w:val="nil"/>
                  </w:tcBorders>
                  <w:vAlign w:val="center"/>
                </w:tcPr>
                <w:p w14:paraId="526AED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olor w:val="000000" w:themeColor="text1"/>
                      <w:szCs w:val="21"/>
                      <w:highlight w:val="none"/>
                      <w:lang w:val="en-US" w:eastAsia="zh-CN" w:bidi="ar"/>
                      <w14:textFill>
                        <w14:solidFill>
                          <w14:schemeClr w14:val="tx1"/>
                        </w14:solidFill>
                      </w14:textFill>
                    </w:rPr>
                    <w:t>大英县</w:t>
                  </w:r>
                </w:p>
              </w:tc>
              <w:tc>
                <w:tcPr>
                  <w:tcW w:w="341" w:type="pct"/>
                  <w:tcBorders>
                    <w:tl2br w:val="nil"/>
                    <w:tr2bl w:val="nil"/>
                  </w:tcBorders>
                  <w:vAlign w:val="center"/>
                </w:tcPr>
                <w:p w14:paraId="3F0D64F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w:t>
                  </w:r>
                </w:p>
              </w:tc>
              <w:tc>
                <w:tcPr>
                  <w:tcW w:w="706" w:type="pct"/>
                  <w:tcBorders>
                    <w:tl2br w:val="nil"/>
                    <w:tr2bl w:val="nil"/>
                  </w:tcBorders>
                  <w:vAlign w:val="center"/>
                </w:tcPr>
                <w:p w14:paraId="24E89F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IK106+200</w:t>
                  </w:r>
                </w:p>
              </w:tc>
              <w:tc>
                <w:tcPr>
                  <w:tcW w:w="608" w:type="pct"/>
                  <w:tcBorders>
                    <w:tl2br w:val="nil"/>
                    <w:tr2bl w:val="nil"/>
                  </w:tcBorders>
                  <w:vAlign w:val="center"/>
                </w:tcPr>
                <w:p w14:paraId="001997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0.81</w:t>
                  </w:r>
                </w:p>
              </w:tc>
              <w:tc>
                <w:tcPr>
                  <w:tcW w:w="857" w:type="pct"/>
                  <w:tcBorders>
                    <w:tl2br w:val="nil"/>
                    <w:tr2bl w:val="nil"/>
                  </w:tcBorders>
                  <w:vAlign w:val="center"/>
                </w:tcPr>
                <w:p w14:paraId="3D49DC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大英互通、郪江大桥</w:t>
                  </w:r>
                </w:p>
              </w:tc>
              <w:tc>
                <w:tcPr>
                  <w:tcW w:w="655" w:type="pct"/>
                  <w:tcBorders>
                    <w:tl2br w:val="nil"/>
                    <w:tr2bl w:val="nil"/>
                  </w:tcBorders>
                  <w:vAlign w:val="center"/>
                </w:tcPr>
                <w:p w14:paraId="30EA78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t>/</w:t>
                  </w:r>
                </w:p>
              </w:tc>
              <w:tc>
                <w:tcPr>
                  <w:tcW w:w="822" w:type="pct"/>
                  <w:vMerge w:val="restart"/>
                  <w:tcBorders>
                    <w:tl2br w:val="nil"/>
                    <w:tr2bl w:val="nil"/>
                  </w:tcBorders>
                  <w:vAlign w:val="center"/>
                </w:tcPr>
                <w:p w14:paraId="5711B86A">
                  <w:pPr>
                    <w:keepNext w:val="0"/>
                    <w:keepLines w:val="0"/>
                    <w:pageBreakBefore w:val="0"/>
                    <w:widowControl w:val="0"/>
                    <w:kinsoku/>
                    <w:wordWrap w:val="0"/>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bidi="ar"/>
                      <w14:textFill>
                        <w14:solidFill>
                          <w14:schemeClr w14:val="tx1"/>
                        </w14:solidFill>
                      </w14:textFill>
                    </w:rPr>
                    <w:t>本项目位于遂宁市蓬溪经济开发区莲花社区，供应段落</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K1811+145.02~K1823+100，设置钢筋加工及预制梁厂。</w:t>
                  </w:r>
                </w:p>
              </w:tc>
              <w:tc>
                <w:tcPr>
                  <w:tcW w:w="467" w:type="pct"/>
                  <w:vMerge w:val="restart"/>
                  <w:tcBorders>
                    <w:tl2br w:val="nil"/>
                    <w:tr2bl w:val="nil"/>
                  </w:tcBorders>
                  <w:vAlign w:val="center"/>
                </w:tcPr>
                <w:p w14:paraId="291B5A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不符合</w:t>
                  </w:r>
                </w:p>
              </w:tc>
            </w:tr>
            <w:tr w14:paraId="59C4B2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1" w:type="pct"/>
                  <w:vMerge w:val="continue"/>
                  <w:tcBorders>
                    <w:tl2br w:val="nil"/>
                    <w:tr2bl w:val="nil"/>
                  </w:tcBorders>
                  <w:vAlign w:val="center"/>
                </w:tcPr>
                <w:p w14:paraId="1A23A7A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341" w:type="pct"/>
                  <w:tcBorders>
                    <w:tl2br w:val="nil"/>
                    <w:tr2bl w:val="nil"/>
                  </w:tcBorders>
                  <w:vAlign w:val="center"/>
                </w:tcPr>
                <w:p w14:paraId="7F6C24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p>
              </w:tc>
              <w:tc>
                <w:tcPr>
                  <w:tcW w:w="706" w:type="pct"/>
                  <w:tcBorders>
                    <w:tl2br w:val="nil"/>
                    <w:tr2bl w:val="nil"/>
                  </w:tcBorders>
                  <w:vAlign w:val="center"/>
                </w:tcPr>
                <w:p w14:paraId="237F4F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IK</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112</w:t>
                  </w:r>
                  <w:r>
                    <w:rPr>
                      <w:rFonts w:hint="eastAsia" w:ascii="Times New Roman" w:hAnsi="Times New Roman" w:eastAsia="宋体"/>
                      <w:color w:val="000000" w:themeColor="text1"/>
                      <w:szCs w:val="21"/>
                      <w:highlight w:val="none"/>
                      <w:lang w:eastAsia="zh-CN" w:bidi="ar"/>
                      <w14:textFill>
                        <w14:solidFill>
                          <w14:schemeClr w14:val="tx1"/>
                        </w14:solidFill>
                      </w14:textFill>
                    </w:rPr>
                    <w:t>+</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450</w:t>
                  </w:r>
                </w:p>
              </w:tc>
              <w:tc>
                <w:tcPr>
                  <w:tcW w:w="608" w:type="pct"/>
                  <w:tcBorders>
                    <w:tl2br w:val="nil"/>
                    <w:tr2bl w:val="nil"/>
                  </w:tcBorders>
                  <w:vAlign w:val="center"/>
                </w:tcPr>
                <w:p w14:paraId="34241EA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w:t>
                  </w:r>
                </w:p>
              </w:tc>
              <w:tc>
                <w:tcPr>
                  <w:tcW w:w="857" w:type="pct"/>
                  <w:tcBorders>
                    <w:tl2br w:val="nil"/>
                    <w:tr2bl w:val="nil"/>
                  </w:tcBorders>
                  <w:vAlign w:val="center"/>
                </w:tcPr>
                <w:p w14:paraId="5B1418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伍家坡隧道、柏垭湾大桥</w:t>
                  </w:r>
                </w:p>
              </w:tc>
              <w:tc>
                <w:tcPr>
                  <w:tcW w:w="655" w:type="pct"/>
                  <w:tcBorders>
                    <w:tl2br w:val="nil"/>
                    <w:tr2bl w:val="nil"/>
                  </w:tcBorders>
                  <w:vAlign w:val="center"/>
                </w:tcPr>
                <w:p w14:paraId="4CA0E0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bidi="ar"/>
                      <w14:textFill>
                        <w14:solidFill>
                          <w14:schemeClr w14:val="tx1"/>
                        </w14:solidFill>
                      </w14:textFill>
                    </w:rPr>
                    <w:t>与拌和场合并布设</w:t>
                  </w:r>
                </w:p>
              </w:tc>
              <w:tc>
                <w:tcPr>
                  <w:tcW w:w="822" w:type="pct"/>
                  <w:vMerge w:val="continue"/>
                  <w:tcBorders>
                    <w:tl2br w:val="nil"/>
                    <w:tr2bl w:val="nil"/>
                  </w:tcBorders>
                  <w:vAlign w:val="center"/>
                </w:tcPr>
                <w:p w14:paraId="3937F7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67" w:type="pct"/>
                  <w:vMerge w:val="continue"/>
                  <w:tcBorders>
                    <w:tl2br w:val="nil"/>
                    <w:tr2bl w:val="nil"/>
                  </w:tcBorders>
                  <w:vAlign w:val="center"/>
                </w:tcPr>
                <w:p w14:paraId="6CBDEC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11409E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1" w:type="pct"/>
                  <w:vMerge w:val="continue"/>
                  <w:tcBorders>
                    <w:tl2br w:val="nil"/>
                    <w:tr2bl w:val="nil"/>
                  </w:tcBorders>
                  <w:vAlign w:val="center"/>
                </w:tcPr>
                <w:p w14:paraId="7C7551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341" w:type="pct"/>
                  <w:tcBorders>
                    <w:tl2br w:val="nil"/>
                    <w:tr2bl w:val="nil"/>
                  </w:tcBorders>
                  <w:vAlign w:val="center"/>
                </w:tcPr>
                <w:p w14:paraId="27D6B3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p>
              </w:tc>
              <w:tc>
                <w:tcPr>
                  <w:tcW w:w="706" w:type="pct"/>
                  <w:tcBorders>
                    <w:tl2br w:val="nil"/>
                    <w:tr2bl w:val="nil"/>
                  </w:tcBorders>
                  <w:vAlign w:val="center"/>
                </w:tcPr>
                <w:p w14:paraId="7619D4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121</w:t>
                  </w:r>
                  <w:r>
                    <w:rPr>
                      <w:rFonts w:hint="eastAsia" w:ascii="Times New Roman" w:hAnsi="Times New Roman" w:eastAsia="宋体"/>
                      <w:color w:val="000000" w:themeColor="text1"/>
                      <w:szCs w:val="21"/>
                      <w:highlight w:val="none"/>
                      <w:lang w:eastAsia="zh-CN" w:bidi="ar"/>
                      <w14:textFill>
                        <w14:solidFill>
                          <w14:schemeClr w14:val="tx1"/>
                        </w14:solidFill>
                      </w14:textFill>
                    </w:rPr>
                    <w:t>+</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800</w:t>
                  </w:r>
                </w:p>
              </w:tc>
              <w:tc>
                <w:tcPr>
                  <w:tcW w:w="608" w:type="pct"/>
                  <w:tcBorders>
                    <w:tl2br w:val="nil"/>
                    <w:tr2bl w:val="nil"/>
                  </w:tcBorders>
                  <w:vAlign w:val="center"/>
                </w:tcPr>
                <w:p w14:paraId="7D0912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0.54</w:t>
                  </w:r>
                </w:p>
              </w:tc>
              <w:tc>
                <w:tcPr>
                  <w:tcW w:w="857" w:type="pct"/>
                  <w:tcBorders>
                    <w:tl2br w:val="nil"/>
                    <w:tr2bl w:val="nil"/>
                  </w:tcBorders>
                  <w:vAlign w:val="center"/>
                </w:tcPr>
                <w:p w14:paraId="79BDBAE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隆盛互通</w:t>
                  </w:r>
                </w:p>
              </w:tc>
              <w:tc>
                <w:tcPr>
                  <w:tcW w:w="655" w:type="pct"/>
                  <w:tcBorders>
                    <w:tl2br w:val="nil"/>
                    <w:tr2bl w:val="nil"/>
                  </w:tcBorders>
                  <w:vAlign w:val="center"/>
                </w:tcPr>
                <w:p w14:paraId="1A4339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w:t>
                  </w:r>
                </w:p>
              </w:tc>
              <w:tc>
                <w:tcPr>
                  <w:tcW w:w="822" w:type="pct"/>
                  <w:vMerge w:val="continue"/>
                  <w:tcBorders>
                    <w:tl2br w:val="nil"/>
                    <w:tr2bl w:val="nil"/>
                  </w:tcBorders>
                  <w:vAlign w:val="center"/>
                </w:tcPr>
                <w:p w14:paraId="5A4401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67" w:type="pct"/>
                  <w:vMerge w:val="continue"/>
                  <w:tcBorders>
                    <w:tl2br w:val="nil"/>
                    <w:tr2bl w:val="nil"/>
                  </w:tcBorders>
                  <w:vAlign w:val="center"/>
                </w:tcPr>
                <w:p w14:paraId="1D7743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1C6F6A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1" w:type="pct"/>
                  <w:tcBorders>
                    <w:tl2br w:val="nil"/>
                    <w:tr2bl w:val="nil"/>
                  </w:tcBorders>
                  <w:vAlign w:val="center"/>
                </w:tcPr>
                <w:p w14:paraId="036392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船山区</w:t>
                  </w:r>
                </w:p>
              </w:tc>
              <w:tc>
                <w:tcPr>
                  <w:tcW w:w="341" w:type="pct"/>
                  <w:tcBorders>
                    <w:tl2br w:val="nil"/>
                    <w:tr2bl w:val="nil"/>
                  </w:tcBorders>
                  <w:vAlign w:val="center"/>
                </w:tcPr>
                <w:p w14:paraId="3E418A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w:t>
                  </w:r>
                </w:p>
              </w:tc>
              <w:tc>
                <w:tcPr>
                  <w:tcW w:w="706" w:type="pct"/>
                  <w:tcBorders>
                    <w:tl2br w:val="nil"/>
                    <w:tr2bl w:val="nil"/>
                  </w:tcBorders>
                  <w:vAlign w:val="center"/>
                </w:tcPr>
                <w:p w14:paraId="529BEE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K133+000</w:t>
                  </w:r>
                </w:p>
              </w:tc>
              <w:tc>
                <w:tcPr>
                  <w:tcW w:w="608" w:type="pct"/>
                  <w:tcBorders>
                    <w:tl2br w:val="nil"/>
                    <w:tr2bl w:val="nil"/>
                  </w:tcBorders>
                  <w:vAlign w:val="center"/>
                </w:tcPr>
                <w:p w14:paraId="033F7F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0.69</w:t>
                  </w:r>
                </w:p>
              </w:tc>
              <w:tc>
                <w:tcPr>
                  <w:tcW w:w="857" w:type="pct"/>
                  <w:tcBorders>
                    <w:tl2br w:val="nil"/>
                    <w:tr2bl w:val="nil"/>
                  </w:tcBorders>
                  <w:vAlign w:val="center"/>
                </w:tcPr>
                <w:p w14:paraId="63F93F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涪江大桥</w:t>
                  </w:r>
                </w:p>
              </w:tc>
              <w:tc>
                <w:tcPr>
                  <w:tcW w:w="655" w:type="pct"/>
                  <w:tcBorders>
                    <w:tl2br w:val="nil"/>
                    <w:tr2bl w:val="nil"/>
                  </w:tcBorders>
                  <w:vAlign w:val="center"/>
                </w:tcPr>
                <w:p w14:paraId="146F28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w:t>
                  </w:r>
                </w:p>
              </w:tc>
              <w:tc>
                <w:tcPr>
                  <w:tcW w:w="822" w:type="pct"/>
                  <w:vMerge w:val="continue"/>
                  <w:tcBorders>
                    <w:tl2br w:val="nil"/>
                    <w:tr2bl w:val="nil"/>
                  </w:tcBorders>
                  <w:vAlign w:val="center"/>
                </w:tcPr>
                <w:p w14:paraId="648B3AC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67" w:type="pct"/>
                  <w:vMerge w:val="continue"/>
                  <w:tcBorders>
                    <w:tl2br w:val="nil"/>
                    <w:tr2bl w:val="nil"/>
                  </w:tcBorders>
                  <w:vAlign w:val="center"/>
                </w:tcPr>
                <w:p w14:paraId="5C6EEF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378030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41" w:type="pct"/>
                  <w:tcBorders>
                    <w:tl2br w:val="nil"/>
                    <w:tr2bl w:val="nil"/>
                  </w:tcBorders>
                  <w:vAlign w:val="center"/>
                </w:tcPr>
                <w:p w14:paraId="0D6FF2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蓬溪县</w:t>
                  </w:r>
                </w:p>
              </w:tc>
              <w:tc>
                <w:tcPr>
                  <w:tcW w:w="341" w:type="pct"/>
                  <w:tcBorders>
                    <w:tl2br w:val="nil"/>
                    <w:tr2bl w:val="nil"/>
                  </w:tcBorders>
                  <w:vAlign w:val="center"/>
                </w:tcPr>
                <w:p w14:paraId="4268E5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p>
              </w:tc>
              <w:tc>
                <w:tcPr>
                  <w:tcW w:w="706" w:type="pct"/>
                  <w:tcBorders>
                    <w:tl2br w:val="nil"/>
                    <w:tr2bl w:val="nil"/>
                  </w:tcBorders>
                  <w:vAlign w:val="center"/>
                </w:tcPr>
                <w:p w14:paraId="77ED4B3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K146+400</w:t>
                  </w:r>
                </w:p>
              </w:tc>
              <w:tc>
                <w:tcPr>
                  <w:tcW w:w="608" w:type="pct"/>
                  <w:tcBorders>
                    <w:tl2br w:val="nil"/>
                    <w:tr2bl w:val="nil"/>
                  </w:tcBorders>
                  <w:vAlign w:val="center"/>
                </w:tcPr>
                <w:p w14:paraId="6162B9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w:t>
                  </w:r>
                </w:p>
              </w:tc>
              <w:tc>
                <w:tcPr>
                  <w:tcW w:w="857" w:type="pct"/>
                  <w:tcBorders>
                    <w:tl2br w:val="nil"/>
                    <w:tr2bl w:val="nil"/>
                  </w:tcBorders>
                  <w:vAlign w:val="center"/>
                </w:tcPr>
                <w:p w14:paraId="118B9B2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吉祥枢纽互通</w:t>
                  </w:r>
                </w:p>
              </w:tc>
              <w:tc>
                <w:tcPr>
                  <w:tcW w:w="655" w:type="pct"/>
                  <w:tcBorders>
                    <w:tl2br w:val="nil"/>
                    <w:tr2bl w:val="nil"/>
                  </w:tcBorders>
                  <w:vAlign w:val="center"/>
                </w:tcPr>
                <w:p w14:paraId="39C00A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bidi="ar"/>
                      <w14:textFill>
                        <w14:solidFill>
                          <w14:schemeClr w14:val="tx1"/>
                        </w14:solidFill>
                      </w14:textFill>
                    </w:rPr>
                  </w:pPr>
                  <w:r>
                    <w:rPr>
                      <w:rFonts w:hint="eastAsia" w:ascii="Times New Roman" w:hAnsi="Times New Roman" w:eastAsia="宋体"/>
                      <w:b w:val="0"/>
                      <w:bCs w:val="0"/>
                      <w:color w:val="000000" w:themeColor="text1"/>
                      <w:szCs w:val="21"/>
                      <w:highlight w:val="none"/>
                      <w:lang w:bidi="ar"/>
                      <w14:textFill>
                        <w14:solidFill>
                          <w14:schemeClr w14:val="tx1"/>
                        </w14:solidFill>
                      </w14:textFill>
                    </w:rPr>
                    <w:t>与拌和场合并布设</w:t>
                  </w:r>
                </w:p>
              </w:tc>
              <w:tc>
                <w:tcPr>
                  <w:tcW w:w="822" w:type="pct"/>
                  <w:vMerge w:val="continue"/>
                  <w:tcBorders>
                    <w:tl2br w:val="nil"/>
                    <w:tr2bl w:val="nil"/>
                  </w:tcBorders>
                  <w:vAlign w:val="center"/>
                </w:tcPr>
                <w:p w14:paraId="0CA61E6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67" w:type="pct"/>
                  <w:vMerge w:val="continue"/>
                  <w:tcBorders>
                    <w:tl2br w:val="nil"/>
                    <w:tr2bl w:val="nil"/>
                  </w:tcBorders>
                  <w:vAlign w:val="center"/>
                </w:tcPr>
                <w:p w14:paraId="596BD0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bl>
          <w:p w14:paraId="538F6EBB">
            <w:pPr>
              <w:pStyle w:val="41"/>
              <w:keepNext w:val="0"/>
              <w:keepLines w:val="0"/>
              <w:pageBreakBefore w:val="0"/>
              <w:widowControl w:val="0"/>
              <w:kinsoku/>
              <w:wordWrap/>
              <w:overflowPunct/>
              <w:topLinePunct w:val="0"/>
              <w:autoSpaceDE/>
              <w:autoSpaceDN/>
              <w:bidi w:val="0"/>
              <w:adjustRightInd/>
              <w:snapToGrid/>
              <w:spacing w:line="500" w:lineRule="atLeast"/>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根据上表分析可知，本项目建设预制场不属于</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《G42线南充至成都段高速公路扩容工程环境影响报告书》中评价的预制场。</w:t>
            </w:r>
          </w:p>
          <w:p w14:paraId="22D69C16">
            <w:pPr>
              <w:pStyle w:val="41"/>
              <w:keepNext w:val="0"/>
              <w:keepLines w:val="0"/>
              <w:pageBreakBefore w:val="0"/>
              <w:widowControl w:val="0"/>
              <w:kinsoku/>
              <w:wordWrap/>
              <w:overflowPunct/>
              <w:topLinePunct w:val="0"/>
              <w:autoSpaceDE/>
              <w:autoSpaceDN/>
              <w:bidi w:val="0"/>
              <w:adjustRightInd/>
              <w:snapToGrid/>
              <w:spacing w:line="500" w:lineRule="atLeast"/>
              <w:textAlignment w:val="auto"/>
              <w:rPr>
                <w:rFonts w:hint="default" w:eastAsia="宋体"/>
                <w:color w:val="000000" w:themeColor="text1"/>
                <w:kern w:val="2"/>
                <w:highlight w:val="none"/>
                <w:lang w:val="en-US" w:eastAsia="zh-CN"/>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2、拌和场</w:t>
            </w:r>
          </w:p>
          <w:p w14:paraId="457182F3">
            <w:pPr>
              <w:pStyle w:val="41"/>
              <w:keepNext w:val="0"/>
              <w:keepLines w:val="0"/>
              <w:pageBreakBefore w:val="0"/>
              <w:widowControl w:val="0"/>
              <w:kinsoku/>
              <w:wordWrap/>
              <w:overflowPunct/>
              <w:topLinePunct w:val="0"/>
              <w:autoSpaceDE/>
              <w:autoSpaceDN/>
              <w:bidi w:val="0"/>
              <w:adjustRightInd/>
              <w:snapToGrid/>
              <w:spacing w:line="500" w:lineRule="atLeast"/>
              <w:textAlignment w:val="auto"/>
              <w:rPr>
                <w:rFonts w:hint="eastAsia" w:eastAsia="宋体"/>
                <w:color w:val="000000" w:themeColor="text1"/>
                <w:kern w:val="2"/>
                <w:highlight w:val="none"/>
                <w14:textFill>
                  <w14:solidFill>
                    <w14:schemeClr w14:val="tx1"/>
                  </w14:solidFill>
                </w14:textFill>
              </w:rPr>
            </w:pP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w:t>
            </w:r>
            <w:r>
              <w:rPr>
                <w:rFonts w:hint="eastAsia" w:eastAsia="宋体"/>
                <w:color w:val="000000" w:themeColor="text1"/>
                <w:kern w:val="2"/>
                <w:highlight w:val="none"/>
                <w:lang w:val="en-US" w:eastAsia="zh-CN"/>
                <w14:textFill>
                  <w14:solidFill>
                    <w14:schemeClr w14:val="tx1"/>
                  </w14:solidFill>
                </w14:textFill>
              </w:rPr>
              <w:t>共设置17处拌和场，本次仅分析与遂宁市拌和场符合性。</w:t>
            </w:r>
          </w:p>
          <w:p w14:paraId="4E27F79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1-9</w:t>
            </w:r>
            <w:r>
              <w:rPr>
                <w:rFonts w:ascii="Times New Roman" w:hAnsi="Times New Roman" w:eastAsia="宋体"/>
                <w:b/>
                <w:bCs/>
                <w:color w:val="000000" w:themeColor="text1"/>
                <w:szCs w:val="21"/>
                <w:highlight w:val="none"/>
                <w:lang w:bidi="ar"/>
                <w14:textFill>
                  <w14:solidFill>
                    <w14:schemeClr w14:val="tx1"/>
                  </w14:solidFill>
                </w14:textFill>
              </w:rPr>
              <w:t xml:space="preserve">    </w:t>
            </w:r>
            <w:r>
              <w:rPr>
                <w:rFonts w:hint="default" w:ascii="Times New Roman" w:hAnsi="Times New Roman" w:eastAsia="宋体" w:cs="Times New Roman"/>
                <w:b/>
                <w:bCs/>
                <w:color w:val="000000" w:themeColor="text1"/>
                <w:kern w:val="2"/>
                <w:highlight w:val="none"/>
                <w:lang w:eastAsia="zh-CN"/>
                <w14:textFill>
                  <w14:solidFill>
                    <w14:schemeClr w14:val="tx1"/>
                  </w14:solidFill>
                </w14:textFill>
              </w:rPr>
              <w:t>与G42线南充至成都段高速公路扩容工程拌和场符合性分析</w:t>
            </w:r>
          </w:p>
          <w:tbl>
            <w:tblPr>
              <w:tblStyle w:val="20"/>
              <w:tblW w:w="494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52"/>
              <w:gridCol w:w="436"/>
              <w:gridCol w:w="1214"/>
              <w:gridCol w:w="900"/>
              <w:gridCol w:w="1517"/>
              <w:gridCol w:w="1066"/>
              <w:gridCol w:w="1100"/>
              <w:gridCol w:w="683"/>
            </w:tblGrid>
            <w:tr w14:paraId="1C11D7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tcBorders>
                    <w:tl2br w:val="nil"/>
                    <w:tr2bl w:val="nil"/>
                  </w:tcBorders>
                  <w:vAlign w:val="center"/>
                </w:tcPr>
                <w:p w14:paraId="05911A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行政区划</w:t>
                  </w:r>
                </w:p>
              </w:tc>
              <w:tc>
                <w:tcPr>
                  <w:tcW w:w="277" w:type="pct"/>
                  <w:tcBorders>
                    <w:tl2br w:val="nil"/>
                    <w:tr2bl w:val="nil"/>
                  </w:tcBorders>
                  <w:vAlign w:val="center"/>
                </w:tcPr>
                <w:p w14:paraId="7F8E26E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序号</w:t>
                  </w:r>
                </w:p>
              </w:tc>
              <w:tc>
                <w:tcPr>
                  <w:tcW w:w="771" w:type="pct"/>
                  <w:tcBorders>
                    <w:tl2br w:val="nil"/>
                    <w:tr2bl w:val="nil"/>
                  </w:tcBorders>
                  <w:vAlign w:val="center"/>
                </w:tcPr>
                <w:p w14:paraId="6FEC78A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桩号</w:t>
                  </w:r>
                </w:p>
              </w:tc>
              <w:tc>
                <w:tcPr>
                  <w:tcW w:w="571" w:type="pct"/>
                  <w:tcBorders>
                    <w:tl2br w:val="nil"/>
                    <w:tr2bl w:val="nil"/>
                  </w:tcBorders>
                  <w:vAlign w:val="center"/>
                </w:tcPr>
                <w:p w14:paraId="068057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占地面积</w:t>
                  </w:r>
                  <w:r>
                    <w:rPr>
                      <w:rFonts w:hint="eastAsia" w:ascii="Times New Roman" w:hAnsi="Times New Roman" w:eastAsia="宋体" w:cs="Times New Roman"/>
                      <w:b/>
                      <w:bCs/>
                      <w:color w:val="000000" w:themeColor="text1"/>
                      <w:szCs w:val="21"/>
                      <w:highlight w:val="none"/>
                      <w:lang w:val="en-US" w:eastAsia="zh-CN" w:bidi="ar"/>
                      <w14:textFill>
                        <w14:solidFill>
                          <w14:schemeClr w14:val="tx1"/>
                        </w14:solidFill>
                      </w14:textFill>
                    </w:rPr>
                    <w:t>hm</w:t>
                  </w:r>
                  <w:r>
                    <w:rPr>
                      <w:rFonts w:hint="eastAsia" w:ascii="Times New Roman" w:hAnsi="Times New Roman" w:eastAsia="宋体" w:cs="Times New Roman"/>
                      <w:b/>
                      <w:bCs/>
                      <w:color w:val="000000" w:themeColor="text1"/>
                      <w:szCs w:val="21"/>
                      <w:highlight w:val="none"/>
                      <w:vertAlign w:val="superscript"/>
                      <w:lang w:val="en-US" w:eastAsia="zh-CN" w:bidi="ar"/>
                      <w14:textFill>
                        <w14:solidFill>
                          <w14:schemeClr w14:val="tx1"/>
                        </w14:solidFill>
                      </w14:textFill>
                    </w:rPr>
                    <w:t>2</w:t>
                  </w:r>
                </w:p>
              </w:tc>
              <w:tc>
                <w:tcPr>
                  <w:tcW w:w="964" w:type="pct"/>
                  <w:tcBorders>
                    <w:tl2br w:val="nil"/>
                    <w:tr2bl w:val="nil"/>
                  </w:tcBorders>
                  <w:vAlign w:val="center"/>
                </w:tcPr>
                <w:p w14:paraId="091AD99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主要施工对象</w:t>
                  </w:r>
                </w:p>
              </w:tc>
              <w:tc>
                <w:tcPr>
                  <w:tcW w:w="677" w:type="pct"/>
                  <w:tcBorders>
                    <w:tl2br w:val="nil"/>
                    <w:tr2bl w:val="nil"/>
                  </w:tcBorders>
                  <w:vAlign w:val="center"/>
                </w:tcPr>
                <w:p w14:paraId="0387FD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eastAsia" w:ascii="Times New Roman" w:hAnsi="Times New Roman" w:eastAsia="宋体" w:cs="Times New Roman"/>
                      <w:b/>
                      <w:bCs/>
                      <w:color w:val="000000" w:themeColor="text1"/>
                      <w:szCs w:val="21"/>
                      <w:highlight w:val="none"/>
                      <w:lang w:eastAsia="zh-CN" w:bidi="ar"/>
                      <w14:textFill>
                        <w14:solidFill>
                          <w14:schemeClr w14:val="tx1"/>
                        </w14:solidFill>
                      </w14:textFill>
                    </w:rPr>
                    <w:t>拌和站类型</w:t>
                  </w:r>
                </w:p>
              </w:tc>
              <w:tc>
                <w:tcPr>
                  <w:tcW w:w="699" w:type="pct"/>
                  <w:tcBorders>
                    <w:tl2br w:val="nil"/>
                    <w:tr2bl w:val="nil"/>
                  </w:tcBorders>
                  <w:vAlign w:val="center"/>
                </w:tcPr>
                <w:p w14:paraId="0C77D7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本项目情况</w:t>
                  </w:r>
                </w:p>
              </w:tc>
              <w:tc>
                <w:tcPr>
                  <w:tcW w:w="434" w:type="pct"/>
                  <w:tcBorders>
                    <w:tl2br w:val="nil"/>
                    <w:tr2bl w:val="nil"/>
                  </w:tcBorders>
                  <w:vAlign w:val="center"/>
                </w:tcPr>
                <w:p w14:paraId="337786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pPr>
                  <w:r>
                    <w:rPr>
                      <w:rFonts w:hint="default" w:ascii="Times New Roman" w:hAnsi="Times New Roman" w:eastAsia="宋体" w:cs="Times New Roman"/>
                      <w:b/>
                      <w:bCs/>
                      <w:color w:val="000000" w:themeColor="text1"/>
                      <w:szCs w:val="21"/>
                      <w:highlight w:val="none"/>
                      <w:lang w:eastAsia="zh-CN" w:bidi="ar"/>
                      <w14:textFill>
                        <w14:solidFill>
                          <w14:schemeClr w14:val="tx1"/>
                        </w14:solidFill>
                      </w14:textFill>
                    </w:rPr>
                    <w:t>符合性</w:t>
                  </w:r>
                </w:p>
              </w:tc>
            </w:tr>
            <w:tr w14:paraId="0E6868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tcBorders>
                    <w:tl2br w:val="nil"/>
                    <w:tr2bl w:val="nil"/>
                  </w:tcBorders>
                  <w:vAlign w:val="center"/>
                </w:tcPr>
                <w:p w14:paraId="5BEC89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olor w:val="000000" w:themeColor="text1"/>
                      <w:szCs w:val="21"/>
                      <w:highlight w:val="none"/>
                      <w:lang w:val="en-US" w:eastAsia="zh-CN" w:bidi="ar"/>
                      <w14:textFill>
                        <w14:solidFill>
                          <w14:schemeClr w14:val="tx1"/>
                        </w14:solidFill>
                      </w14:textFill>
                    </w:rPr>
                    <w:t>大英县</w:t>
                  </w:r>
                </w:p>
              </w:tc>
              <w:tc>
                <w:tcPr>
                  <w:tcW w:w="277" w:type="pct"/>
                  <w:tcBorders>
                    <w:tl2br w:val="nil"/>
                    <w:tr2bl w:val="nil"/>
                  </w:tcBorders>
                  <w:vAlign w:val="center"/>
                </w:tcPr>
                <w:p w14:paraId="3E4D38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w:t>
                  </w:r>
                </w:p>
              </w:tc>
              <w:tc>
                <w:tcPr>
                  <w:tcW w:w="771" w:type="pct"/>
                  <w:tcBorders>
                    <w:tl2br w:val="nil"/>
                    <w:tr2bl w:val="nil"/>
                  </w:tcBorders>
                  <w:vAlign w:val="center"/>
                </w:tcPr>
                <w:p w14:paraId="113B95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IK106+800</w:t>
                  </w:r>
                </w:p>
              </w:tc>
              <w:tc>
                <w:tcPr>
                  <w:tcW w:w="571" w:type="pct"/>
                  <w:tcBorders>
                    <w:tl2br w:val="nil"/>
                    <w:tr2bl w:val="nil"/>
                  </w:tcBorders>
                  <w:vAlign w:val="center"/>
                </w:tcPr>
                <w:p w14:paraId="4DA8D92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7.52</w:t>
                  </w:r>
                </w:p>
              </w:tc>
              <w:tc>
                <w:tcPr>
                  <w:tcW w:w="964" w:type="pct"/>
                  <w:tcBorders>
                    <w:tl2br w:val="nil"/>
                    <w:tr2bl w:val="nil"/>
                  </w:tcBorders>
                  <w:vAlign w:val="center"/>
                </w:tcPr>
                <w:p w14:paraId="44BC16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新建段沿线路基</w:t>
                  </w:r>
                </w:p>
              </w:tc>
              <w:tc>
                <w:tcPr>
                  <w:tcW w:w="677" w:type="pct"/>
                  <w:tcBorders>
                    <w:tl2br w:val="nil"/>
                    <w:tr2bl w:val="nil"/>
                  </w:tcBorders>
                  <w:vAlign w:val="center"/>
                </w:tcPr>
                <w:p w14:paraId="25C78B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布设冷热拌和场</w:t>
                  </w:r>
                </w:p>
              </w:tc>
              <w:tc>
                <w:tcPr>
                  <w:tcW w:w="699" w:type="pct"/>
                  <w:vMerge w:val="restart"/>
                  <w:tcBorders>
                    <w:tl2br w:val="nil"/>
                    <w:tr2bl w:val="nil"/>
                  </w:tcBorders>
                  <w:vAlign w:val="center"/>
                </w:tcPr>
                <w:p w14:paraId="26F7E2D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bidi="ar"/>
                      <w14:textFill>
                        <w14:solidFill>
                          <w14:schemeClr w14:val="tx1"/>
                        </w14:solidFill>
                      </w14:textFill>
                    </w:rPr>
                    <w:t>本项目位于遂宁市蓬溪经济开发区莲花社区，供应段落</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K1811+145.02~K1823+100，设置冷拌场。</w:t>
                  </w:r>
                </w:p>
              </w:tc>
              <w:tc>
                <w:tcPr>
                  <w:tcW w:w="434" w:type="pct"/>
                  <w:vMerge w:val="restart"/>
                  <w:tcBorders>
                    <w:tl2br w:val="nil"/>
                    <w:tr2bl w:val="nil"/>
                  </w:tcBorders>
                  <w:vAlign w:val="center"/>
                </w:tcPr>
                <w:p w14:paraId="112B76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不符合</w:t>
                  </w:r>
                </w:p>
              </w:tc>
            </w:tr>
            <w:tr w14:paraId="4CDB26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restart"/>
                  <w:tcBorders>
                    <w:tl2br w:val="nil"/>
                    <w:tr2bl w:val="nil"/>
                  </w:tcBorders>
                  <w:vAlign w:val="center"/>
                </w:tcPr>
                <w:p w14:paraId="66FE7B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船山区</w:t>
                  </w:r>
                </w:p>
              </w:tc>
              <w:tc>
                <w:tcPr>
                  <w:tcW w:w="277" w:type="pct"/>
                  <w:tcBorders>
                    <w:tl2br w:val="nil"/>
                    <w:tr2bl w:val="nil"/>
                  </w:tcBorders>
                  <w:vAlign w:val="center"/>
                </w:tcPr>
                <w:p w14:paraId="257AF4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p>
              </w:tc>
              <w:tc>
                <w:tcPr>
                  <w:tcW w:w="771" w:type="pct"/>
                  <w:tcBorders>
                    <w:tl2br w:val="nil"/>
                    <w:tr2bl w:val="nil"/>
                  </w:tcBorders>
                  <w:vAlign w:val="center"/>
                </w:tcPr>
                <w:p w14:paraId="003BFF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K130+000</w:t>
                  </w:r>
                </w:p>
              </w:tc>
              <w:tc>
                <w:tcPr>
                  <w:tcW w:w="571" w:type="pct"/>
                  <w:tcBorders>
                    <w:tl2br w:val="nil"/>
                    <w:tr2bl w:val="nil"/>
                  </w:tcBorders>
                  <w:vAlign w:val="center"/>
                </w:tcPr>
                <w:p w14:paraId="3E6D9DE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4.02</w:t>
                  </w:r>
                </w:p>
              </w:tc>
              <w:tc>
                <w:tcPr>
                  <w:tcW w:w="964" w:type="pct"/>
                  <w:tcBorders>
                    <w:tl2br w:val="nil"/>
                    <w:tr2bl w:val="nil"/>
                  </w:tcBorders>
                  <w:vAlign w:val="center"/>
                </w:tcPr>
                <w:p w14:paraId="529503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沿线路基</w:t>
                  </w:r>
                </w:p>
              </w:tc>
              <w:tc>
                <w:tcPr>
                  <w:tcW w:w="677" w:type="pct"/>
                  <w:tcBorders>
                    <w:tl2br w:val="nil"/>
                    <w:tr2bl w:val="nil"/>
                  </w:tcBorders>
                  <w:vAlign w:val="center"/>
                </w:tcPr>
                <w:p w14:paraId="33D14B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部分利用桂花枢纽设置冷拌场</w:t>
                  </w:r>
                </w:p>
              </w:tc>
              <w:tc>
                <w:tcPr>
                  <w:tcW w:w="699" w:type="pct"/>
                  <w:vMerge w:val="continue"/>
                  <w:tcBorders>
                    <w:tl2br w:val="nil"/>
                    <w:tr2bl w:val="nil"/>
                  </w:tcBorders>
                  <w:vAlign w:val="center"/>
                </w:tcPr>
                <w:p w14:paraId="56946A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118C60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72A442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continue"/>
                  <w:tcBorders>
                    <w:tl2br w:val="nil"/>
                    <w:tr2bl w:val="nil"/>
                  </w:tcBorders>
                  <w:vAlign w:val="center"/>
                </w:tcPr>
                <w:p w14:paraId="59DF4A4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277" w:type="pct"/>
                  <w:tcBorders>
                    <w:tl2br w:val="nil"/>
                    <w:tr2bl w:val="nil"/>
                  </w:tcBorders>
                  <w:vAlign w:val="center"/>
                </w:tcPr>
                <w:p w14:paraId="0F4A636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p>
              </w:tc>
              <w:tc>
                <w:tcPr>
                  <w:tcW w:w="771" w:type="pct"/>
                  <w:tcBorders>
                    <w:tl2br w:val="nil"/>
                    <w:tr2bl w:val="nil"/>
                  </w:tcBorders>
                  <w:vAlign w:val="center"/>
                </w:tcPr>
                <w:p w14:paraId="5FBC7F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HK137+800</w:t>
                  </w:r>
                </w:p>
              </w:tc>
              <w:tc>
                <w:tcPr>
                  <w:tcW w:w="571" w:type="pct"/>
                  <w:tcBorders>
                    <w:tl2br w:val="nil"/>
                    <w:tr2bl w:val="nil"/>
                  </w:tcBorders>
                  <w:vAlign w:val="center"/>
                </w:tcPr>
                <w:p w14:paraId="548731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4.16</w:t>
                  </w:r>
                </w:p>
              </w:tc>
              <w:tc>
                <w:tcPr>
                  <w:tcW w:w="964" w:type="pct"/>
                  <w:tcBorders>
                    <w:tl2br w:val="nil"/>
                    <w:tr2bl w:val="nil"/>
                  </w:tcBorders>
                  <w:vAlign w:val="center"/>
                </w:tcPr>
                <w:p w14:paraId="146EDB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陈家湾隧道及沿线路基</w:t>
                  </w:r>
                </w:p>
              </w:tc>
              <w:tc>
                <w:tcPr>
                  <w:tcW w:w="677" w:type="pct"/>
                  <w:tcBorders>
                    <w:tl2br w:val="nil"/>
                    <w:tr2bl w:val="nil"/>
                  </w:tcBorders>
                  <w:vAlign w:val="center"/>
                </w:tcPr>
                <w:p w14:paraId="6BDD451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Cs w:val="21"/>
                      <w:highlight w:val="none"/>
                      <w:lang w:val="en-US" w:eastAsia="zh-CN" w:bidi="ar"/>
                      <w14:textFill>
                        <w14:solidFill>
                          <w14:schemeClr w14:val="tx1"/>
                        </w14:solidFill>
                      </w14:textFill>
                    </w:rPr>
                    <w:t>设置冷拌场</w:t>
                  </w:r>
                </w:p>
              </w:tc>
              <w:tc>
                <w:tcPr>
                  <w:tcW w:w="699" w:type="pct"/>
                  <w:vMerge w:val="continue"/>
                  <w:tcBorders>
                    <w:tl2br w:val="nil"/>
                    <w:tr2bl w:val="nil"/>
                  </w:tcBorders>
                  <w:vAlign w:val="center"/>
                </w:tcPr>
                <w:p w14:paraId="6370A2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02F11EE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3FB25A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restart"/>
                  <w:tcBorders>
                    <w:tl2br w:val="nil"/>
                    <w:tr2bl w:val="nil"/>
                  </w:tcBorders>
                  <w:vAlign w:val="center"/>
                </w:tcPr>
                <w:p w14:paraId="6F6CDD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蓬溪县</w:t>
                  </w:r>
                </w:p>
              </w:tc>
              <w:tc>
                <w:tcPr>
                  <w:tcW w:w="277" w:type="pct"/>
                  <w:tcBorders>
                    <w:tl2br w:val="nil"/>
                    <w:tr2bl w:val="nil"/>
                  </w:tcBorders>
                  <w:vAlign w:val="center"/>
                </w:tcPr>
                <w:p w14:paraId="09FDDF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w:t>
                  </w:r>
                </w:p>
              </w:tc>
              <w:tc>
                <w:tcPr>
                  <w:tcW w:w="771" w:type="pct"/>
                  <w:tcBorders>
                    <w:tl2br w:val="nil"/>
                    <w:tr2bl w:val="nil"/>
                  </w:tcBorders>
                  <w:vAlign w:val="center"/>
                </w:tcPr>
                <w:p w14:paraId="0029B6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K146+000</w:t>
                  </w:r>
                </w:p>
              </w:tc>
              <w:tc>
                <w:tcPr>
                  <w:tcW w:w="571" w:type="pct"/>
                  <w:tcBorders>
                    <w:tl2br w:val="nil"/>
                    <w:tr2bl w:val="nil"/>
                  </w:tcBorders>
                  <w:vAlign w:val="center"/>
                </w:tcPr>
                <w:p w14:paraId="2D5D86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3.77</w:t>
                  </w:r>
                </w:p>
              </w:tc>
              <w:tc>
                <w:tcPr>
                  <w:tcW w:w="964" w:type="pct"/>
                  <w:tcBorders>
                    <w:tl2br w:val="nil"/>
                    <w:tr2bl w:val="nil"/>
                  </w:tcBorders>
                  <w:vAlign w:val="center"/>
                </w:tcPr>
                <w:p w14:paraId="494225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沿线路基</w:t>
                  </w:r>
                </w:p>
              </w:tc>
              <w:tc>
                <w:tcPr>
                  <w:tcW w:w="677" w:type="pct"/>
                  <w:tcBorders>
                    <w:tl2br w:val="nil"/>
                    <w:tr2bl w:val="nil"/>
                  </w:tcBorders>
                  <w:vAlign w:val="center"/>
                </w:tcPr>
                <w:p w14:paraId="49ECEB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bidi="ar"/>
                      <w14:textFill>
                        <w14:solidFill>
                          <w14:schemeClr w14:val="tx1"/>
                        </w14:solidFill>
                      </w14:textFill>
                    </w:rPr>
                  </w:pPr>
                  <w:r>
                    <w:rPr>
                      <w:rFonts w:hint="eastAsia" w:ascii="Times New Roman" w:hAnsi="Times New Roman" w:eastAsia="宋体"/>
                      <w:b w:val="0"/>
                      <w:bCs w:val="0"/>
                      <w:color w:val="000000" w:themeColor="text1"/>
                      <w:szCs w:val="21"/>
                      <w:highlight w:val="none"/>
                      <w:lang w:bidi="ar"/>
                      <w14:textFill>
                        <w14:solidFill>
                          <w14:schemeClr w14:val="tx1"/>
                        </w14:solidFill>
                      </w14:textFill>
                    </w:rPr>
                    <w:t>部分利用吉祥枢纽设置冷拌场</w:t>
                  </w:r>
                </w:p>
              </w:tc>
              <w:tc>
                <w:tcPr>
                  <w:tcW w:w="699" w:type="pct"/>
                  <w:vMerge w:val="continue"/>
                  <w:tcBorders>
                    <w:tl2br w:val="nil"/>
                    <w:tr2bl w:val="nil"/>
                  </w:tcBorders>
                  <w:vAlign w:val="center"/>
                </w:tcPr>
                <w:p w14:paraId="557EC8C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0AEE94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r w14:paraId="28A63F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04" w:type="pct"/>
                  <w:vMerge w:val="continue"/>
                  <w:tcBorders>
                    <w:tl2br w:val="nil"/>
                    <w:tr2bl w:val="nil"/>
                  </w:tcBorders>
                  <w:vAlign w:val="center"/>
                </w:tcPr>
                <w:p w14:paraId="1AC4F11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bidi="ar"/>
                      <w14:textFill>
                        <w14:solidFill>
                          <w14:schemeClr w14:val="tx1"/>
                        </w14:solidFill>
                      </w14:textFill>
                    </w:rPr>
                  </w:pPr>
                </w:p>
              </w:tc>
              <w:tc>
                <w:tcPr>
                  <w:tcW w:w="277" w:type="pct"/>
                  <w:tcBorders>
                    <w:tl2br w:val="nil"/>
                    <w:tr2bl w:val="nil"/>
                  </w:tcBorders>
                  <w:vAlign w:val="center"/>
                </w:tcPr>
                <w:p w14:paraId="10E6D8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p>
              </w:tc>
              <w:tc>
                <w:tcPr>
                  <w:tcW w:w="771" w:type="pct"/>
                  <w:tcBorders>
                    <w:tl2br w:val="nil"/>
                    <w:tr2bl w:val="nil"/>
                  </w:tcBorders>
                  <w:vAlign w:val="center"/>
                </w:tcPr>
                <w:p w14:paraId="6FD074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HK165+000</w:t>
                  </w:r>
                </w:p>
              </w:tc>
              <w:tc>
                <w:tcPr>
                  <w:tcW w:w="571" w:type="pct"/>
                  <w:tcBorders>
                    <w:tl2br w:val="nil"/>
                    <w:tr2bl w:val="nil"/>
                  </w:tcBorders>
                  <w:vAlign w:val="center"/>
                </w:tcPr>
                <w:p w14:paraId="4C81F5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7.68</w:t>
                  </w:r>
                </w:p>
              </w:tc>
              <w:tc>
                <w:tcPr>
                  <w:tcW w:w="964" w:type="pct"/>
                  <w:tcBorders>
                    <w:tl2br w:val="nil"/>
                    <w:tr2bl w:val="nil"/>
                  </w:tcBorders>
                  <w:vAlign w:val="center"/>
                </w:tcPr>
                <w:p w14:paraId="0B95A7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王家湾隧道及沿线路基</w:t>
                  </w:r>
                </w:p>
              </w:tc>
              <w:tc>
                <w:tcPr>
                  <w:tcW w:w="677" w:type="pct"/>
                  <w:tcBorders>
                    <w:tl2br w:val="nil"/>
                    <w:tr2bl w:val="nil"/>
                  </w:tcBorders>
                  <w:vAlign w:val="center"/>
                </w:tcPr>
                <w:p w14:paraId="0D332F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bidi="ar"/>
                      <w14:textFill>
                        <w14:solidFill>
                          <w14:schemeClr w14:val="tx1"/>
                        </w14:solidFill>
                      </w14:textFill>
                    </w:rPr>
                  </w:pPr>
                  <w:r>
                    <w:rPr>
                      <w:rFonts w:hint="eastAsia" w:ascii="Times New Roman" w:hAnsi="Times New Roman" w:eastAsia="宋体"/>
                      <w:b w:val="0"/>
                      <w:bCs w:val="0"/>
                      <w:color w:val="000000" w:themeColor="text1"/>
                      <w:szCs w:val="21"/>
                      <w:highlight w:val="none"/>
                      <w:lang w:bidi="ar"/>
                      <w14:textFill>
                        <w14:solidFill>
                          <w14:schemeClr w14:val="tx1"/>
                        </w14:solidFill>
                      </w14:textFill>
                    </w:rPr>
                    <w:t>布设冷热拌和场</w:t>
                  </w:r>
                </w:p>
              </w:tc>
              <w:tc>
                <w:tcPr>
                  <w:tcW w:w="699" w:type="pct"/>
                  <w:vMerge w:val="continue"/>
                  <w:tcBorders>
                    <w:tl2br w:val="nil"/>
                    <w:tr2bl w:val="nil"/>
                  </w:tcBorders>
                  <w:vAlign w:val="center"/>
                </w:tcPr>
                <w:p w14:paraId="1872B8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bidi="ar"/>
                      <w14:textFill>
                        <w14:solidFill>
                          <w14:schemeClr w14:val="tx1"/>
                        </w14:solidFill>
                      </w14:textFill>
                    </w:rPr>
                  </w:pPr>
                </w:p>
              </w:tc>
              <w:tc>
                <w:tcPr>
                  <w:tcW w:w="434" w:type="pct"/>
                  <w:vMerge w:val="continue"/>
                  <w:tcBorders>
                    <w:tl2br w:val="nil"/>
                    <w:tr2bl w:val="nil"/>
                  </w:tcBorders>
                  <w:vAlign w:val="center"/>
                </w:tcPr>
                <w:p w14:paraId="1BC90F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bl>
          <w:p w14:paraId="03654EAC">
            <w:pPr>
              <w:pStyle w:val="41"/>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根据上表分析可知，本项目建设</w:t>
            </w:r>
            <w:r>
              <w:rPr>
                <w:rFonts w:hint="eastAsia" w:eastAsia="宋体"/>
                <w:color w:val="000000" w:themeColor="text1"/>
                <w:kern w:val="2"/>
                <w:highlight w:val="none"/>
                <w:lang w:val="en-US" w:eastAsia="zh-CN"/>
                <w14:textFill>
                  <w14:solidFill>
                    <w14:schemeClr w14:val="tx1"/>
                  </w14:solidFill>
                </w14:textFill>
              </w:rPr>
              <w:t>拌和场</w:t>
            </w:r>
            <w:r>
              <w:rPr>
                <w:rFonts w:hint="eastAsia" w:eastAsia="宋体"/>
                <w:color w:val="000000" w:themeColor="text1"/>
                <w:kern w:val="2"/>
                <w:highlight w:val="none"/>
                <w:lang w:eastAsia="zh-CN"/>
                <w14:textFill>
                  <w14:solidFill>
                    <w14:schemeClr w14:val="tx1"/>
                  </w14:solidFill>
                </w14:textFill>
              </w:rPr>
              <w:t>不属于</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《G42线南充至成都段高速公路扩容工程环境影响报告书》中评价的</w:t>
            </w:r>
            <w:r>
              <w:rPr>
                <w:rFonts w:hint="eastAsia" w:eastAsia="宋体"/>
                <w:color w:val="000000" w:themeColor="text1"/>
                <w:kern w:val="2"/>
                <w:highlight w:val="none"/>
                <w:lang w:val="en-US" w:eastAsia="zh-CN"/>
                <w14:textFill>
                  <w14:solidFill>
                    <w14:schemeClr w14:val="tx1"/>
                  </w14:solidFill>
                </w14:textFill>
              </w:rPr>
              <w:t>拌和场</w:t>
            </w:r>
            <w:r>
              <w:rPr>
                <w:rFonts w:hint="eastAsia" w:eastAsia="宋体"/>
                <w:b w:val="0"/>
                <w:bCs w:val="0"/>
                <w:color w:val="000000" w:themeColor="text1"/>
                <w:kern w:val="2"/>
                <w:highlight w:val="none"/>
                <w:lang w:eastAsia="zh-CN"/>
                <w14:textFill>
                  <w14:solidFill>
                    <w14:schemeClr w14:val="tx1"/>
                  </w14:solidFill>
                </w14:textFill>
              </w:rPr>
              <w:t>。</w:t>
            </w:r>
          </w:p>
          <w:p w14:paraId="4343CE33">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综上分析，本项目位于成南主体工程桩号</w:t>
            </w:r>
            <w:r>
              <w:rPr>
                <w:rFonts w:hint="eastAsia" w:eastAsia="宋体"/>
                <w:color w:val="000000" w:themeColor="text1"/>
                <w:kern w:val="2"/>
                <w:highlight w:val="none"/>
                <w:lang w:val="en-US" w:eastAsia="zh-CN"/>
                <w14:textFill>
                  <w14:solidFill>
                    <w14:schemeClr w14:val="tx1"/>
                  </w14:solidFill>
                </w14:textFill>
              </w:rPr>
              <w:t>K183处，不属于</w:t>
            </w:r>
            <w:r>
              <w:rPr>
                <w:rFonts w:hint="eastAsia" w:eastAsia="宋体"/>
                <w:b w:val="0"/>
                <w:bCs w:val="0"/>
                <w:color w:val="000000" w:themeColor="text1"/>
                <w:kern w:val="2"/>
                <w:highlight w:val="none"/>
                <w:lang w:eastAsia="zh-CN"/>
                <w14:textFill>
                  <w14:solidFill>
                    <w14:schemeClr w14:val="tx1"/>
                  </w14:solidFill>
                </w14:textFill>
              </w:rPr>
              <w:t>《G42线南充至成都段高速公路扩容工程环境影响报告书》中评价的预制场。</w:t>
            </w:r>
          </w:p>
          <w:p w14:paraId="497D2F2D">
            <w:pPr>
              <w:pStyle w:val="41"/>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eastAsia="宋体"/>
                <w:b/>
                <w:bCs/>
                <w:color w:val="000000" w:themeColor="text1"/>
                <w:kern w:val="2"/>
                <w:highlight w:val="none"/>
                <w14:textFill>
                  <w14:solidFill>
                    <w14:schemeClr w14:val="tx1"/>
                  </w14:solidFill>
                </w14:textFill>
              </w:rPr>
            </w:pPr>
            <w:r>
              <w:rPr>
                <w:rFonts w:hint="eastAsia" w:eastAsia="宋体"/>
                <w:b/>
                <w:bCs/>
                <w:color w:val="000000" w:themeColor="text1"/>
                <w:kern w:val="2"/>
                <w:highlight w:val="none"/>
                <w:lang w:eastAsia="zh-CN"/>
                <w14:textFill>
                  <w14:solidFill>
                    <w14:schemeClr w14:val="tx1"/>
                  </w14:solidFill>
                </w14:textFill>
              </w:rPr>
              <w:t>十</w:t>
            </w:r>
            <w:r>
              <w:rPr>
                <w:rFonts w:hint="eastAsia" w:eastAsia="宋体"/>
                <w:b/>
                <w:bCs/>
                <w:color w:val="000000" w:themeColor="text1"/>
                <w:kern w:val="2"/>
                <w:highlight w:val="none"/>
                <w14:textFill>
                  <w14:solidFill>
                    <w14:schemeClr w14:val="tx1"/>
                  </w14:solidFill>
                </w14:textFill>
              </w:rPr>
              <w:t>、项目外环境及选址合理性分析</w:t>
            </w:r>
          </w:p>
          <w:p w14:paraId="2CF17C3E">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（一）外环境关系</w:t>
            </w:r>
          </w:p>
          <w:p w14:paraId="6E869FB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本项目位于</w:t>
            </w:r>
            <w:r>
              <w:rPr>
                <w:rFonts w:hint="eastAsia" w:eastAsia="宋体"/>
                <w:bCs/>
                <w:color w:val="000000" w:themeColor="text1"/>
                <w:highlight w:val="none"/>
                <w14:textFill>
                  <w14:solidFill>
                    <w14:schemeClr w14:val="tx1"/>
                  </w14:solidFill>
                </w14:textFill>
              </w:rPr>
              <w:t>遂宁市</w:t>
            </w:r>
            <w:r>
              <w:rPr>
                <w:rFonts w:hint="eastAsia" w:eastAsia="宋体"/>
                <w:color w:val="000000" w:themeColor="text1"/>
                <w:szCs w:val="21"/>
                <w:highlight w:val="none"/>
                <w:lang w:eastAsia="zh-CN"/>
                <w14:textFill>
                  <w14:solidFill>
                    <w14:schemeClr w14:val="tx1"/>
                  </w14:solidFill>
                </w14:textFill>
              </w:rPr>
              <w:t>蓬溪经济开发区（火车站工业聚居区）莲花社区一社</w:t>
            </w:r>
            <w:r>
              <w:rPr>
                <w:rFonts w:hint="eastAsia" w:eastAsia="宋体"/>
                <w:bCs/>
                <w:color w:val="000000" w:themeColor="text1"/>
                <w:highlight w:val="none"/>
                <w14:textFill>
                  <w14:solidFill>
                    <w14:schemeClr w14:val="tx1"/>
                  </w14:solidFill>
                </w14:textFill>
              </w:rPr>
              <w:t>，项目外环境关系如下</w:t>
            </w:r>
            <w:r>
              <w:rPr>
                <w:rFonts w:hint="eastAsia" w:eastAsia="宋体"/>
                <w:bCs/>
                <w:color w:val="000000" w:themeColor="text1"/>
                <w:highlight w:val="none"/>
                <w:lang w:eastAsia="zh-CN"/>
                <w14:textFill>
                  <w14:solidFill>
                    <w14:schemeClr w14:val="tx1"/>
                  </w14:solidFill>
                </w14:textFill>
              </w:rPr>
              <w:t>，详见附图</w:t>
            </w:r>
            <w:r>
              <w:rPr>
                <w:rFonts w:hint="eastAsia" w:eastAsia="宋体"/>
                <w:bCs/>
                <w:color w:val="000000" w:themeColor="text1"/>
                <w:highlight w:val="none"/>
                <w:lang w:val="en-US" w:eastAsia="zh-CN"/>
                <w14:textFill>
                  <w14:solidFill>
                    <w14:schemeClr w14:val="tx1"/>
                  </w14:solidFill>
                </w14:textFill>
              </w:rPr>
              <w:t>3</w:t>
            </w:r>
            <w:r>
              <w:rPr>
                <w:rFonts w:hint="eastAsia" w:eastAsia="宋体"/>
                <w:bCs/>
                <w:color w:val="000000" w:themeColor="text1"/>
                <w:highlight w:val="none"/>
                <w:lang w:eastAsia="zh-CN"/>
                <w14:textFill>
                  <w14:solidFill>
                    <w14:schemeClr w14:val="tx1"/>
                  </w14:solidFill>
                </w14:textFill>
              </w:rPr>
              <w:t>。</w:t>
            </w:r>
          </w:p>
          <w:p w14:paraId="116B1EC2">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东侧：</w:t>
            </w:r>
            <w:r>
              <w:rPr>
                <w:rFonts w:hint="eastAsia" w:eastAsia="宋体"/>
                <w:color w:val="000000" w:themeColor="text1"/>
                <w:kern w:val="2"/>
                <w:highlight w:val="none"/>
                <w:lang w:eastAsia="zh-CN"/>
                <w14:textFill>
                  <w14:solidFill>
                    <w14:schemeClr w14:val="tx1"/>
                  </w14:solidFill>
                </w14:textFill>
              </w:rPr>
              <w:t>山坡林地</w:t>
            </w:r>
            <w:r>
              <w:rPr>
                <w:rFonts w:hint="eastAsia" w:eastAsia="宋体"/>
                <w:color w:val="000000" w:themeColor="text1"/>
                <w:kern w:val="2"/>
                <w:highlight w:val="none"/>
                <w14:textFill>
                  <w14:solidFill>
                    <w14:schemeClr w14:val="tx1"/>
                  </w14:solidFill>
                </w14:textFill>
              </w:rPr>
              <w:t>；</w:t>
            </w:r>
          </w:p>
          <w:p w14:paraId="3469FF8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东</w:t>
            </w:r>
            <w:r>
              <w:rPr>
                <w:rFonts w:hint="eastAsia" w:eastAsia="宋体"/>
                <w:color w:val="000000" w:themeColor="text1"/>
                <w:kern w:val="2"/>
                <w:highlight w:val="none"/>
                <w14:textFill>
                  <w14:solidFill>
                    <w14:schemeClr w14:val="tx1"/>
                  </w14:solidFill>
                </w14:textFill>
              </w:rPr>
              <w:t>南侧：距离</w:t>
            </w:r>
            <w:r>
              <w:rPr>
                <w:rFonts w:hint="eastAsia" w:eastAsia="宋体"/>
                <w:color w:val="000000" w:themeColor="text1"/>
                <w:kern w:val="2"/>
                <w:highlight w:val="none"/>
                <w:lang w:val="en-US" w:eastAsia="zh-CN"/>
                <w14:textFill>
                  <w14:solidFill>
                    <w14:schemeClr w14:val="tx1"/>
                  </w14:solidFill>
                </w14:textFill>
              </w:rPr>
              <w:t>136</w:t>
            </w:r>
            <w:r>
              <w:rPr>
                <w:rFonts w:hint="eastAsia" w:eastAsia="宋体"/>
                <w:color w:val="000000" w:themeColor="text1"/>
                <w:kern w:val="2"/>
                <w:highlight w:val="none"/>
                <w14:textFill>
                  <w14:solidFill>
                    <w14:schemeClr w14:val="tx1"/>
                  </w14:solidFill>
                </w14:textFill>
              </w:rPr>
              <w:t>m处为</w:t>
            </w:r>
            <w:r>
              <w:rPr>
                <w:rFonts w:hint="eastAsia" w:eastAsia="宋体"/>
                <w:color w:val="000000" w:themeColor="text1"/>
                <w:kern w:val="2"/>
                <w:highlight w:val="none"/>
                <w:lang w:eastAsia="zh-CN"/>
                <w14:textFill>
                  <w14:solidFill>
                    <w14:schemeClr w14:val="tx1"/>
                  </w14:solidFill>
                </w14:textFill>
              </w:rPr>
              <w:t>莲花社区</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w:t>
            </w:r>
            <w:r>
              <w:rPr>
                <w:rFonts w:hint="eastAsia" w:eastAsia="宋体"/>
                <w:color w:val="000000" w:themeColor="text1"/>
                <w:kern w:val="2"/>
                <w:highlight w:val="none"/>
                <w:lang w:val="en-US" w:eastAsia="zh-CN"/>
                <w14:textFill>
                  <w14:solidFill>
                    <w14:schemeClr w14:val="tx1"/>
                  </w14:solidFill>
                </w14:textFill>
              </w:rPr>
              <w:t>500m范围内</w:t>
            </w:r>
            <w:r>
              <w:rPr>
                <w:rFonts w:hint="eastAsia" w:eastAsia="宋体"/>
                <w:color w:val="000000" w:themeColor="text1"/>
                <w:kern w:val="2"/>
                <w:highlight w:val="none"/>
                <w:lang w:eastAsia="zh-CN"/>
                <w14:textFill>
                  <w14:solidFill>
                    <w14:schemeClr w14:val="tx1"/>
                  </w14:solidFill>
                </w14:textFill>
              </w:rPr>
              <w:t>居民约有</w:t>
            </w:r>
            <w:r>
              <w:rPr>
                <w:rFonts w:hint="eastAsia" w:eastAsia="宋体"/>
                <w:color w:val="000000" w:themeColor="text1"/>
                <w:kern w:val="2"/>
                <w:highlight w:val="none"/>
                <w:lang w:val="en-US" w:eastAsia="zh-CN"/>
                <w14:textFill>
                  <w14:solidFill>
                    <w14:schemeClr w14:val="tx1"/>
                  </w14:solidFill>
                </w14:textFill>
              </w:rPr>
              <w:t>120户，360人</w:t>
            </w:r>
            <w:r>
              <w:rPr>
                <w:rFonts w:hint="eastAsia" w:eastAsia="宋体"/>
                <w:color w:val="000000" w:themeColor="text1"/>
                <w:kern w:val="2"/>
                <w:highlight w:val="none"/>
                <w14:textFill>
                  <w14:solidFill>
                    <w14:schemeClr w14:val="tx1"/>
                  </w14:solidFill>
                </w14:textFill>
              </w:rPr>
              <w:t>；</w:t>
            </w:r>
          </w:p>
          <w:p w14:paraId="5DEBBDF1">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南</w:t>
            </w:r>
            <w:r>
              <w:rPr>
                <w:rFonts w:hint="eastAsia" w:eastAsia="宋体"/>
                <w:color w:val="000000" w:themeColor="text1"/>
                <w:kern w:val="2"/>
                <w:highlight w:val="none"/>
                <w14:textFill>
                  <w14:solidFill>
                    <w14:schemeClr w14:val="tx1"/>
                  </w14:solidFill>
                </w14:textFill>
              </w:rPr>
              <w:t>侧：</w:t>
            </w:r>
            <w:r>
              <w:rPr>
                <w:rFonts w:hint="eastAsia" w:eastAsia="宋体"/>
                <w:color w:val="000000" w:themeColor="text1"/>
                <w:kern w:val="2"/>
                <w:highlight w:val="none"/>
                <w:lang w:eastAsia="zh-CN"/>
                <w14:textFill>
                  <w14:solidFill>
                    <w14:schemeClr w14:val="tx1"/>
                  </w14:solidFill>
                </w14:textFill>
              </w:rPr>
              <w:t>厂界外</w:t>
            </w:r>
            <w:r>
              <w:rPr>
                <w:rFonts w:hint="eastAsia" w:eastAsia="宋体"/>
                <w:color w:val="000000" w:themeColor="text1"/>
                <w:kern w:val="2"/>
                <w:highlight w:val="none"/>
                <w:lang w:val="en-US" w:eastAsia="zh-CN"/>
                <w14:textFill>
                  <w14:solidFill>
                    <w14:schemeClr w14:val="tx1"/>
                  </w14:solidFill>
                </w14:textFill>
              </w:rPr>
              <w:t>10m约为成南高速出口匝道，365m处</w:t>
            </w:r>
            <w:r>
              <w:rPr>
                <w:rFonts w:hint="eastAsia" w:eastAsia="宋体"/>
                <w:color w:val="000000" w:themeColor="text1"/>
                <w:kern w:val="2"/>
                <w:highlight w:val="none"/>
                <w:lang w:eastAsia="zh-CN"/>
                <w14:textFill>
                  <w14:solidFill>
                    <w14:schemeClr w14:val="tx1"/>
                  </w14:solidFill>
                </w14:textFill>
              </w:rPr>
              <w:t>为金秋福养老公寓，约</w:t>
            </w:r>
            <w:r>
              <w:rPr>
                <w:rFonts w:hint="eastAsia" w:eastAsia="宋体"/>
                <w:color w:val="000000" w:themeColor="text1"/>
                <w:kern w:val="2"/>
                <w:highlight w:val="none"/>
                <w:lang w:val="en-US" w:eastAsia="zh-CN"/>
                <w14:textFill>
                  <w14:solidFill>
                    <w14:schemeClr w14:val="tx1"/>
                  </w14:solidFill>
                </w14:textFill>
              </w:rPr>
              <w:t>80人</w:t>
            </w:r>
            <w:r>
              <w:rPr>
                <w:rFonts w:hint="eastAsia" w:eastAsia="宋体"/>
                <w:color w:val="000000" w:themeColor="text1"/>
                <w:kern w:val="2"/>
                <w:highlight w:val="none"/>
                <w14:textFill>
                  <w14:solidFill>
                    <w14:schemeClr w14:val="tx1"/>
                  </w14:solidFill>
                </w14:textFill>
              </w:rPr>
              <w:t>；</w:t>
            </w:r>
          </w:p>
          <w:p w14:paraId="5030F8E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西南</w:t>
            </w:r>
            <w:r>
              <w:rPr>
                <w:rFonts w:hint="eastAsia" w:eastAsia="宋体"/>
                <w:color w:val="000000" w:themeColor="text1"/>
                <w:kern w:val="2"/>
                <w:highlight w:val="none"/>
                <w14:textFill>
                  <w14:solidFill>
                    <w14:schemeClr w14:val="tx1"/>
                  </w14:solidFill>
                </w14:textFill>
              </w:rPr>
              <w:t>侧：距离约</w:t>
            </w:r>
            <w:r>
              <w:rPr>
                <w:rFonts w:hint="eastAsia" w:eastAsia="宋体"/>
                <w:color w:val="000000" w:themeColor="text1"/>
                <w:kern w:val="2"/>
                <w:highlight w:val="none"/>
                <w:lang w:val="en-US" w:eastAsia="zh-CN"/>
                <w14:textFill>
                  <w14:solidFill>
                    <w14:schemeClr w14:val="tx1"/>
                  </w14:solidFill>
                </w14:textFill>
              </w:rPr>
              <w:t>100</w:t>
            </w:r>
            <w:r>
              <w:rPr>
                <w:rFonts w:hint="eastAsia" w:eastAsia="宋体"/>
                <w:color w:val="000000" w:themeColor="text1"/>
                <w:kern w:val="2"/>
                <w:highlight w:val="none"/>
                <w14:textFill>
                  <w14:solidFill>
                    <w14:schemeClr w14:val="tx1"/>
                  </w14:solidFill>
                </w14:textFill>
              </w:rPr>
              <w:t>m处为</w:t>
            </w:r>
            <w:r>
              <w:rPr>
                <w:rFonts w:hint="eastAsia" w:eastAsia="宋体"/>
                <w:color w:val="000000" w:themeColor="text1"/>
                <w:kern w:val="2"/>
                <w:highlight w:val="none"/>
                <w:lang w:eastAsia="zh-CN"/>
                <w14:textFill>
                  <w14:solidFill>
                    <w14:schemeClr w14:val="tx1"/>
                  </w14:solidFill>
                </w14:textFill>
              </w:rPr>
              <w:t>四川华顺海天化纤有限责任公司；</w:t>
            </w:r>
            <w:r>
              <w:rPr>
                <w:rFonts w:hint="eastAsia" w:eastAsia="宋体"/>
                <w:color w:val="000000" w:themeColor="text1"/>
                <w:kern w:val="2"/>
                <w:highlight w:val="none"/>
                <w:lang w:val="en-US" w:eastAsia="zh-CN"/>
                <w14:textFill>
                  <w14:solidFill>
                    <w14:schemeClr w14:val="tx1"/>
                  </w14:solidFill>
                </w14:textFill>
              </w:rPr>
              <w:t>250m处为小潼河；425m处为龙洞学校，师生人数约500人；441</w:t>
            </w:r>
            <w:r>
              <w:rPr>
                <w:rFonts w:hint="eastAsia" w:eastAsia="宋体"/>
                <w:color w:val="000000" w:themeColor="text1"/>
                <w:kern w:val="2"/>
                <w:highlight w:val="none"/>
                <w14:textFill>
                  <w14:solidFill>
                    <w14:schemeClr w14:val="tx1"/>
                  </w14:solidFill>
                </w14:textFill>
              </w:rPr>
              <w:t>m</w:t>
            </w:r>
            <w:r>
              <w:rPr>
                <w:rFonts w:hint="eastAsia" w:eastAsia="宋体"/>
                <w:color w:val="000000" w:themeColor="text1"/>
                <w:kern w:val="2"/>
                <w:highlight w:val="none"/>
                <w:lang w:val="en-US" w:eastAsia="zh-CN"/>
                <w14:textFill>
                  <w14:solidFill>
                    <w14:schemeClr w14:val="tx1"/>
                  </w14:solidFill>
                </w14:textFill>
              </w:rPr>
              <w:t>~500m范围内</w:t>
            </w:r>
            <w:r>
              <w:rPr>
                <w:rFonts w:hint="eastAsia" w:eastAsia="宋体"/>
                <w:color w:val="000000" w:themeColor="text1"/>
                <w:kern w:val="2"/>
                <w:highlight w:val="none"/>
                <w14:textFill>
                  <w14:solidFill>
                    <w14:schemeClr w14:val="tx1"/>
                  </w14:solidFill>
                </w14:textFill>
              </w:rPr>
              <w:t>为</w:t>
            </w:r>
            <w:r>
              <w:rPr>
                <w:rFonts w:hint="eastAsia" w:eastAsia="宋体"/>
                <w:color w:val="000000" w:themeColor="text1"/>
                <w:kern w:val="2"/>
                <w:highlight w:val="none"/>
                <w:lang w:eastAsia="zh-CN"/>
                <w14:textFill>
                  <w14:solidFill>
                    <w14:schemeClr w14:val="tx1"/>
                  </w14:solidFill>
                </w14:textFill>
              </w:rPr>
              <w:t>莲花社区</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，居民约有</w:t>
            </w:r>
            <w:r>
              <w:rPr>
                <w:rFonts w:hint="eastAsia" w:eastAsia="宋体"/>
                <w:color w:val="000000" w:themeColor="text1"/>
                <w:kern w:val="2"/>
                <w:highlight w:val="none"/>
                <w:lang w:val="en-US" w:eastAsia="zh-CN"/>
                <w14:textFill>
                  <w14:solidFill>
                    <w14:schemeClr w14:val="tx1"/>
                  </w14:solidFill>
                </w14:textFill>
              </w:rPr>
              <w:t>12户，36人；</w:t>
            </w:r>
          </w:p>
          <w:p w14:paraId="0F9B186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西</w:t>
            </w:r>
            <w:r>
              <w:rPr>
                <w:rFonts w:hint="eastAsia" w:eastAsia="宋体"/>
                <w:color w:val="000000" w:themeColor="text1"/>
                <w:kern w:val="2"/>
                <w:highlight w:val="none"/>
                <w14:textFill>
                  <w14:solidFill>
                    <w14:schemeClr w14:val="tx1"/>
                  </w14:solidFill>
                </w14:textFill>
              </w:rPr>
              <w:t>侧：距离</w:t>
            </w:r>
            <w:r>
              <w:rPr>
                <w:rFonts w:hint="eastAsia" w:eastAsia="宋体"/>
                <w:color w:val="000000" w:themeColor="text1"/>
                <w:kern w:val="2"/>
                <w:highlight w:val="none"/>
                <w:lang w:val="en-US" w:eastAsia="zh-CN"/>
                <w14:textFill>
                  <w14:solidFill>
                    <w14:schemeClr w14:val="tx1"/>
                  </w14:solidFill>
                </w14:textFill>
              </w:rPr>
              <w:t>300m处为中国石化加油站，485m处为中国石油加油站；</w:t>
            </w:r>
            <w:r>
              <w:rPr>
                <w:rFonts w:hint="eastAsia" w:eastAsia="宋体"/>
                <w:color w:val="000000" w:themeColor="text1"/>
                <w:kern w:val="2"/>
                <w:highlight w:val="none"/>
                <w14:textFill>
                  <w14:solidFill>
                    <w14:schemeClr w14:val="tx1"/>
                  </w14:solidFill>
                </w14:textFill>
              </w:rPr>
              <w:t>约</w:t>
            </w:r>
            <w:r>
              <w:rPr>
                <w:rFonts w:hint="eastAsia" w:eastAsia="宋体"/>
                <w:color w:val="000000" w:themeColor="text1"/>
                <w:kern w:val="2"/>
                <w:highlight w:val="none"/>
                <w:lang w:val="en-US" w:eastAsia="zh-CN"/>
                <w14:textFill>
                  <w14:solidFill>
                    <w14:schemeClr w14:val="tx1"/>
                  </w14:solidFill>
                </w14:textFill>
              </w:rPr>
              <w:t>282</w:t>
            </w:r>
            <w:r>
              <w:rPr>
                <w:rFonts w:hint="eastAsia" w:eastAsia="宋体"/>
                <w:color w:val="000000" w:themeColor="text1"/>
                <w:kern w:val="2"/>
                <w:highlight w:val="none"/>
                <w14:textFill>
                  <w14:solidFill>
                    <w14:schemeClr w14:val="tx1"/>
                  </w14:solidFill>
                </w14:textFill>
              </w:rPr>
              <w:t>m处为</w:t>
            </w:r>
            <w:r>
              <w:rPr>
                <w:rFonts w:hint="eastAsia" w:eastAsia="宋体"/>
                <w:color w:val="000000" w:themeColor="text1"/>
                <w:kern w:val="2"/>
                <w:highlight w:val="none"/>
                <w:lang w:eastAsia="zh-CN"/>
                <w14:textFill>
                  <w14:solidFill>
                    <w14:schemeClr w14:val="tx1"/>
                  </w14:solidFill>
                </w14:textFill>
              </w:rPr>
              <w:t>莲花社区</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，居民约有</w:t>
            </w:r>
            <w:r>
              <w:rPr>
                <w:rFonts w:hint="eastAsia" w:eastAsia="宋体"/>
                <w:color w:val="000000" w:themeColor="text1"/>
                <w:kern w:val="2"/>
                <w:highlight w:val="none"/>
                <w:lang w:val="en-US" w:eastAsia="zh-CN"/>
                <w14:textFill>
                  <w14:solidFill>
                    <w14:schemeClr w14:val="tx1"/>
                  </w14:solidFill>
                </w14:textFill>
              </w:rPr>
              <w:t>6户，18人</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val="en-US" w:eastAsia="zh-CN"/>
                <w14:textFill>
                  <w14:solidFill>
                    <w14:schemeClr w14:val="tx1"/>
                  </w14:solidFill>
                </w14:textFill>
              </w:rPr>
              <w:t>485</w:t>
            </w:r>
            <w:r>
              <w:rPr>
                <w:rFonts w:hint="eastAsia" w:eastAsia="宋体"/>
                <w:color w:val="000000" w:themeColor="text1"/>
                <w:kern w:val="2"/>
                <w:highlight w:val="none"/>
                <w14:textFill>
                  <w14:solidFill>
                    <w14:schemeClr w14:val="tx1"/>
                  </w14:solidFill>
                </w14:textFill>
              </w:rPr>
              <w:t>m处为</w:t>
            </w:r>
            <w:r>
              <w:rPr>
                <w:rFonts w:hint="eastAsia" w:eastAsia="宋体"/>
                <w:color w:val="000000" w:themeColor="text1"/>
                <w:kern w:val="2"/>
                <w:highlight w:val="none"/>
                <w:lang w:eastAsia="zh-CN"/>
                <w14:textFill>
                  <w14:solidFill>
                    <w14:schemeClr w14:val="tx1"/>
                  </w14:solidFill>
                </w14:textFill>
              </w:rPr>
              <w:t>莲花社区</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，居民约有</w:t>
            </w:r>
            <w:r>
              <w:rPr>
                <w:rFonts w:hint="eastAsia" w:eastAsia="宋体"/>
                <w:color w:val="000000" w:themeColor="text1"/>
                <w:kern w:val="2"/>
                <w:highlight w:val="none"/>
                <w:lang w:val="en-US" w:eastAsia="zh-CN"/>
                <w14:textFill>
                  <w14:solidFill>
                    <w14:schemeClr w14:val="tx1"/>
                  </w14:solidFill>
                </w14:textFill>
              </w:rPr>
              <w:t>3户，9人；480m处为新桥嘴安置小区，住户约300户，900人</w:t>
            </w:r>
            <w:r>
              <w:rPr>
                <w:rFonts w:hint="eastAsia" w:eastAsia="宋体"/>
                <w:color w:val="000000" w:themeColor="text1"/>
                <w:kern w:val="2"/>
                <w:highlight w:val="none"/>
                <w:lang w:eastAsia="zh-CN"/>
                <w14:textFill>
                  <w14:solidFill>
                    <w14:schemeClr w14:val="tx1"/>
                  </w14:solidFill>
                </w14:textFill>
              </w:rPr>
              <w:t>；</w:t>
            </w:r>
          </w:p>
          <w:p w14:paraId="6FCC3CC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lang w:eastAsia="zh-CN"/>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西北侧：</w:t>
            </w:r>
            <w:r>
              <w:rPr>
                <w:rFonts w:hint="eastAsia" w:eastAsia="宋体"/>
                <w:color w:val="000000" w:themeColor="text1"/>
                <w:kern w:val="2"/>
                <w:highlight w:val="none"/>
                <w:lang w:val="en-US" w:eastAsia="zh-CN"/>
                <w14:textFill>
                  <w14:solidFill>
                    <w14:schemeClr w14:val="tx1"/>
                  </w14:solidFill>
                </w14:textFill>
              </w:rPr>
              <w:t>443</w:t>
            </w:r>
            <w:r>
              <w:rPr>
                <w:rFonts w:hint="eastAsia" w:eastAsia="宋体"/>
                <w:color w:val="000000" w:themeColor="text1"/>
                <w:kern w:val="2"/>
                <w:highlight w:val="none"/>
                <w14:textFill>
                  <w14:solidFill>
                    <w14:schemeClr w14:val="tx1"/>
                  </w14:solidFill>
                </w14:textFill>
              </w:rPr>
              <w:t>m</w:t>
            </w:r>
            <w:r>
              <w:rPr>
                <w:rFonts w:hint="eastAsia" w:eastAsia="宋体"/>
                <w:color w:val="000000" w:themeColor="text1"/>
                <w:kern w:val="2"/>
                <w:highlight w:val="none"/>
                <w:lang w:val="en-US" w:eastAsia="zh-CN"/>
                <w14:textFill>
                  <w14:solidFill>
                    <w14:schemeClr w14:val="tx1"/>
                  </w14:solidFill>
                </w14:textFill>
              </w:rPr>
              <w:t>~500m范围内</w:t>
            </w:r>
            <w:r>
              <w:rPr>
                <w:rFonts w:hint="eastAsia" w:eastAsia="宋体"/>
                <w:color w:val="000000" w:themeColor="text1"/>
                <w:kern w:val="2"/>
                <w:highlight w:val="none"/>
                <w14:textFill>
                  <w14:solidFill>
                    <w14:schemeClr w14:val="tx1"/>
                  </w14:solidFill>
                </w14:textFill>
              </w:rPr>
              <w:t>为</w:t>
            </w:r>
            <w:r>
              <w:rPr>
                <w:rFonts w:hint="eastAsia" w:eastAsia="宋体"/>
                <w:color w:val="000000" w:themeColor="text1"/>
                <w:kern w:val="2"/>
                <w:highlight w:val="none"/>
                <w:lang w:eastAsia="zh-CN"/>
                <w14:textFill>
                  <w14:solidFill>
                    <w14:schemeClr w14:val="tx1"/>
                  </w14:solidFill>
                </w14:textFill>
              </w:rPr>
              <w:t>莲花社区</w:t>
            </w:r>
            <w:r>
              <w:rPr>
                <w:rFonts w:hint="eastAsia" w:eastAsia="宋体"/>
                <w:color w:val="000000" w:themeColor="text1"/>
                <w:kern w:val="2"/>
                <w:highlight w:val="none"/>
                <w14:textFill>
                  <w14:solidFill>
                    <w14:schemeClr w14:val="tx1"/>
                  </w14:solidFill>
                </w14:textFill>
              </w:rPr>
              <w:t>居民</w:t>
            </w:r>
            <w:r>
              <w:rPr>
                <w:rFonts w:hint="eastAsia" w:eastAsia="宋体"/>
                <w:color w:val="000000" w:themeColor="text1"/>
                <w:kern w:val="2"/>
                <w:highlight w:val="none"/>
                <w:lang w:eastAsia="zh-CN"/>
                <w14:textFill>
                  <w14:solidFill>
                    <w14:schemeClr w14:val="tx1"/>
                  </w14:solidFill>
                </w14:textFill>
              </w:rPr>
              <w:t>，居民约有</w:t>
            </w:r>
            <w:r>
              <w:rPr>
                <w:rFonts w:hint="eastAsia" w:eastAsia="宋体"/>
                <w:color w:val="000000" w:themeColor="text1"/>
                <w:kern w:val="2"/>
                <w:highlight w:val="none"/>
                <w:lang w:val="en-US" w:eastAsia="zh-CN"/>
                <w14:textFill>
                  <w14:solidFill>
                    <w14:schemeClr w14:val="tx1"/>
                  </w14:solidFill>
                </w14:textFill>
              </w:rPr>
              <w:t>7户，21人；</w:t>
            </w:r>
          </w:p>
          <w:p w14:paraId="6DD3904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（二）外环境相容</w:t>
            </w:r>
            <w:r>
              <w:rPr>
                <w:rFonts w:hint="eastAsia" w:eastAsia="宋体"/>
                <w:color w:val="000000" w:themeColor="text1"/>
                <w:kern w:val="2"/>
                <w:highlight w:val="none"/>
                <w:lang w:eastAsia="zh-CN"/>
                <w14:textFill>
                  <w14:solidFill>
                    <w14:schemeClr w14:val="tx1"/>
                  </w14:solidFill>
                </w14:textFill>
              </w:rPr>
              <w:t>及选址合理</w:t>
            </w:r>
            <w:r>
              <w:rPr>
                <w:rFonts w:hint="eastAsia" w:eastAsia="宋体"/>
                <w:color w:val="000000" w:themeColor="text1"/>
                <w:kern w:val="2"/>
                <w:highlight w:val="none"/>
                <w14:textFill>
                  <w14:solidFill>
                    <w14:schemeClr w14:val="tx1"/>
                  </w14:solidFill>
                </w14:textFill>
              </w:rPr>
              <w:t>性分析</w:t>
            </w:r>
          </w:p>
          <w:p w14:paraId="3D1C3A0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外环境对本项目的影响：本项目为南充至成都高速公路扩容工程LJ</w:t>
            </w:r>
            <w:r>
              <w:rPr>
                <w:rFonts w:hint="eastAsia" w:eastAsia="宋体"/>
                <w:color w:val="000000" w:themeColor="text1"/>
                <w:kern w:val="2"/>
                <w:highlight w:val="none"/>
                <w:lang w:val="en-US" w:eastAsia="zh-CN"/>
                <w14:textFill>
                  <w14:solidFill>
                    <w14:schemeClr w14:val="tx1"/>
                  </w14:solidFill>
                </w14:textFill>
              </w:rPr>
              <w:t>5</w:t>
            </w:r>
            <w:r>
              <w:rPr>
                <w:rFonts w:hint="eastAsia" w:eastAsia="宋体"/>
                <w:color w:val="000000" w:themeColor="text1"/>
                <w:kern w:val="2"/>
                <w:highlight w:val="none"/>
                <w14:textFill>
                  <w14:solidFill>
                    <w14:schemeClr w14:val="tx1"/>
                  </w14:solidFill>
                </w14:textFill>
              </w:rPr>
              <w:t>标段</w:t>
            </w:r>
            <w:r>
              <w:rPr>
                <w:rFonts w:hint="eastAsia" w:eastAsia="宋体"/>
                <w:color w:val="000000" w:themeColor="text1"/>
                <w:kern w:val="2"/>
                <w:highlight w:val="none"/>
                <w:lang w:val="en-US" w:eastAsia="zh-CN"/>
                <w14:textFill>
                  <w14:solidFill>
                    <w14:schemeClr w14:val="tx1"/>
                  </w14:solidFill>
                </w14:textFill>
              </w:rPr>
              <w:t>3#</w:t>
            </w:r>
            <w:r>
              <w:rPr>
                <w:rFonts w:hint="eastAsia" w:eastAsia="宋体"/>
                <w:color w:val="000000" w:themeColor="text1"/>
                <w:kern w:val="2"/>
                <w:highlight w:val="none"/>
                <w14:textFill>
                  <w14:solidFill>
                    <w14:schemeClr w14:val="tx1"/>
                  </w14:solidFill>
                </w14:textFill>
              </w:rPr>
              <w:t>站项目，对周边环境无特殊要求；本项目周边主要为</w:t>
            </w:r>
            <w:r>
              <w:rPr>
                <w:rFonts w:hint="eastAsia" w:eastAsia="宋体"/>
                <w:color w:val="000000" w:themeColor="text1"/>
                <w:kern w:val="2"/>
                <w:highlight w:val="none"/>
                <w:lang w:eastAsia="zh-CN"/>
                <w14:textFill>
                  <w14:solidFill>
                    <w14:schemeClr w14:val="tx1"/>
                  </w14:solidFill>
                </w14:textFill>
              </w:rPr>
              <w:t>莲花社区</w:t>
            </w:r>
            <w:r>
              <w:rPr>
                <w:rFonts w:hint="eastAsia" w:eastAsia="宋体"/>
                <w:color w:val="000000" w:themeColor="text1"/>
                <w:kern w:val="2"/>
                <w:highlight w:val="none"/>
                <w14:textFill>
                  <w14:solidFill>
                    <w14:schemeClr w14:val="tx1"/>
                  </w14:solidFill>
                </w14:textFill>
              </w:rPr>
              <w:t>居民，对本项目无影响，外环境与本项目相容。</w:t>
            </w:r>
          </w:p>
          <w:p w14:paraId="7D4FA66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本项目对外环境的影响：</w:t>
            </w:r>
            <w:r>
              <w:rPr>
                <w:rFonts w:hint="eastAsia" w:ascii="Times New Roman" w:hAnsi="Times New Roman" w:eastAsia="宋体"/>
                <w:color w:val="000000" w:themeColor="text1"/>
                <w:sz w:val="24"/>
                <w:szCs w:val="21"/>
                <w:highlight w:val="none"/>
                <w:lang w:eastAsia="zh-CN"/>
                <w14:textFill>
                  <w14:solidFill>
                    <w14:schemeClr w14:val="tx1"/>
                  </w14:solidFill>
                </w14:textFill>
              </w:rPr>
              <w:t>项目所有生产活动均在密闭厂房内进行，</w:t>
            </w:r>
            <w:r>
              <w:rPr>
                <w:rFonts w:hint="eastAsia" w:eastAsia="宋体"/>
                <w:color w:val="000000" w:themeColor="text1"/>
                <w:kern w:val="2"/>
                <w:highlight w:val="none"/>
                <w14:textFill>
                  <w14:solidFill>
                    <w14:schemeClr w14:val="tx1"/>
                  </w14:solidFill>
                </w14:textFill>
              </w:rPr>
              <w:t>营运期废气为粉尘，粉尘采取密闭搅拌楼、安装除尘器、封闭料场，增加淋洒设施、加强物料运输和装卸管理、实施文明装卸、加强绿化等措施，平时加强厂区内的清扫工作，并且对厂区道路和堆料场定时洒水，同时建立健全科学的操作规程和制度。</w:t>
            </w:r>
            <w:r>
              <w:rPr>
                <w:rFonts w:hint="eastAsia" w:ascii="Times New Roman" w:hAnsi="Times New Roman" w:eastAsia="宋体"/>
                <w:color w:val="000000" w:themeColor="text1"/>
                <w:sz w:val="24"/>
                <w:szCs w:val="21"/>
                <w:highlight w:val="none"/>
                <w:lang w:eastAsia="zh-CN"/>
                <w14:textFill>
                  <w14:solidFill>
                    <w14:schemeClr w14:val="tx1"/>
                  </w14:solidFill>
                </w14:textFill>
              </w:rPr>
              <w:t>项目在厂区周围设置收集沟，并在厂区低洼处设置沉淀池、隔油沉淀池等，生产废水经处理后回用于洒水降尘</w:t>
            </w:r>
            <w:r>
              <w:rPr>
                <w:rFonts w:hint="eastAsia" w:eastAsia="宋体"/>
                <w:color w:val="000000" w:themeColor="text1"/>
                <w:sz w:val="24"/>
                <w:szCs w:val="21"/>
                <w:highlight w:val="none"/>
                <w:lang w:eastAsia="zh-CN"/>
                <w14:textFill>
                  <w14:solidFill>
                    <w14:schemeClr w14:val="tx1"/>
                  </w14:solidFill>
                </w14:textFill>
              </w:rPr>
              <w:t>，初期雨水经雨水收集池收集后回用于</w:t>
            </w:r>
            <w:r>
              <w:rPr>
                <w:rFonts w:hint="eastAsia" w:ascii="Times New Roman" w:hAnsi="Times New Roman" w:eastAsia="宋体"/>
                <w:color w:val="000000" w:themeColor="text1"/>
                <w:sz w:val="24"/>
                <w:szCs w:val="21"/>
                <w:highlight w:val="none"/>
                <w:lang w:eastAsia="zh-CN"/>
                <w14:textFill>
                  <w14:solidFill>
                    <w14:schemeClr w14:val="tx1"/>
                  </w14:solidFill>
                </w14:textFill>
              </w:rPr>
              <w:t>洒水降尘；生活污水</w:t>
            </w:r>
            <w:r>
              <w:rPr>
                <w:rFonts w:hint="eastAsia" w:eastAsia="宋体"/>
                <w:color w:val="000000" w:themeColor="text1"/>
                <w:sz w:val="24"/>
                <w:szCs w:val="21"/>
                <w:highlight w:val="none"/>
                <w:lang w:eastAsia="zh-CN"/>
                <w14:textFill>
                  <w14:solidFill>
                    <w14:schemeClr w14:val="tx1"/>
                  </w14:solidFill>
                </w14:textFill>
              </w:rPr>
              <w:t>排入市政管网进入宝梵</w:t>
            </w:r>
            <w:r>
              <w:rPr>
                <w:rFonts w:hint="eastAsia" w:ascii="Times New Roman" w:hAnsi="Times New Roman" w:eastAsia="宋体"/>
                <w:color w:val="000000" w:themeColor="text1"/>
                <w:sz w:val="24"/>
                <w:szCs w:val="21"/>
                <w:highlight w:val="none"/>
                <w:lang w:eastAsia="zh-CN"/>
                <w14:textFill>
                  <w14:solidFill>
                    <w14:schemeClr w14:val="tx1"/>
                  </w14:solidFill>
                </w14:textFill>
              </w:rPr>
              <w:t>污水处理厂。</w:t>
            </w:r>
            <w:r>
              <w:rPr>
                <w:rFonts w:hint="eastAsia" w:eastAsia="宋体"/>
                <w:color w:val="000000" w:themeColor="text1"/>
                <w:kern w:val="2"/>
                <w:highlight w:val="none"/>
                <w14:textFill>
                  <w14:solidFill>
                    <w14:schemeClr w14:val="tx1"/>
                  </w14:solidFill>
                </w14:textFill>
              </w:rPr>
              <w:t>营运期噪声通过</w:t>
            </w:r>
            <w:r>
              <w:rPr>
                <w:rFonts w:hint="eastAsia" w:eastAsia="宋体"/>
                <w:color w:val="000000" w:themeColor="text1"/>
                <w:kern w:val="2"/>
                <w:highlight w:val="none"/>
                <w:lang w:eastAsia="zh-CN"/>
                <w14:textFill>
                  <w14:solidFill>
                    <w14:schemeClr w14:val="tx1"/>
                  </w14:solidFill>
                </w14:textFill>
              </w:rPr>
              <w:t>围墙及厂房隔声、合理布局，高噪声设备远离东南侧居民，高噪声设备设置基础减震，加强运输管理等措施降低对西侧居民的影响。</w:t>
            </w:r>
            <w:r>
              <w:rPr>
                <w:rFonts w:hint="eastAsia" w:ascii="Times New Roman" w:hAnsi="Times New Roman" w:eastAsia="宋体"/>
                <w:color w:val="000000" w:themeColor="text1"/>
                <w:sz w:val="24"/>
                <w:szCs w:val="21"/>
                <w:highlight w:val="none"/>
                <w:lang w:eastAsia="zh-CN"/>
                <w14:textFill>
                  <w14:solidFill>
                    <w14:schemeClr w14:val="tx1"/>
                  </w14:solidFill>
                </w14:textFill>
              </w:rPr>
              <w:t>固体废物分类收集，有效处置，不会造成二次污染。建设单位严格按照相关污染防治措施后</w:t>
            </w:r>
            <w:r>
              <w:rPr>
                <w:rFonts w:hint="eastAsia" w:eastAsia="宋体"/>
                <w:color w:val="000000" w:themeColor="text1"/>
                <w:kern w:val="2"/>
                <w:highlight w:val="none"/>
                <w14:textFill>
                  <w14:solidFill>
                    <w14:schemeClr w14:val="tx1"/>
                  </w14:solidFill>
                </w14:textFill>
              </w:rPr>
              <w:t>，本项目</w:t>
            </w:r>
            <w:r>
              <w:rPr>
                <w:rFonts w:hint="eastAsia" w:eastAsia="宋体"/>
                <w:color w:val="000000" w:themeColor="text1"/>
                <w:kern w:val="2"/>
                <w:highlight w:val="none"/>
                <w:lang w:eastAsia="zh-CN"/>
                <w14:textFill>
                  <w14:solidFill>
                    <w14:schemeClr w14:val="tx1"/>
                  </w14:solidFill>
                </w14:textFill>
              </w:rPr>
              <w:t>污染物均能</w:t>
            </w:r>
            <w:r>
              <w:rPr>
                <w:rFonts w:hint="eastAsia" w:eastAsia="宋体"/>
                <w:color w:val="000000" w:themeColor="text1"/>
                <w:kern w:val="2"/>
                <w:highlight w:val="none"/>
                <w14:textFill>
                  <w14:solidFill>
                    <w14:schemeClr w14:val="tx1"/>
                  </w14:solidFill>
                </w14:textFill>
              </w:rPr>
              <w:t>实现达标排放，对周边敏感目标影响较小。</w:t>
            </w:r>
          </w:p>
          <w:p w14:paraId="0BBB0C00">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kern w:val="2"/>
                <w:highlight w:val="none"/>
                <w14:textFill>
                  <w14:solidFill>
                    <w14:schemeClr w14:val="tx1"/>
                  </w14:solidFill>
                </w14:textFill>
              </w:rPr>
            </w:pPr>
            <w:r>
              <w:rPr>
                <w:rFonts w:hint="eastAsia" w:eastAsia="宋体"/>
                <w:color w:val="000000" w:themeColor="text1"/>
                <w:sz w:val="24"/>
                <w:szCs w:val="21"/>
                <w:highlight w:val="none"/>
                <w:lang w:eastAsia="zh-CN"/>
                <w14:textFill>
                  <w14:solidFill>
                    <w14:schemeClr w14:val="tx1"/>
                  </w14:solidFill>
                </w14:textFill>
              </w:rPr>
              <w:t>本项目所在区域常年主导风向为东北风，敏感保护目标主要位于拟建厂址东南侧、西南侧、西侧住户，下风向敏感保护目标主要为龙洞学校（距离约</w:t>
            </w:r>
            <w:r>
              <w:rPr>
                <w:rFonts w:hint="eastAsia" w:eastAsia="宋体"/>
                <w:color w:val="000000" w:themeColor="text1"/>
                <w:sz w:val="24"/>
                <w:szCs w:val="21"/>
                <w:highlight w:val="none"/>
                <w:lang w:val="en-US" w:eastAsia="zh-CN"/>
                <w14:textFill>
                  <w14:solidFill>
                    <w14:schemeClr w14:val="tx1"/>
                  </w14:solidFill>
                </w14:textFill>
              </w:rPr>
              <w:t>425m，共300人</w:t>
            </w:r>
            <w:r>
              <w:rPr>
                <w:rFonts w:hint="eastAsia" w:eastAsia="宋体"/>
                <w:color w:val="000000" w:themeColor="text1"/>
                <w:sz w:val="24"/>
                <w:szCs w:val="21"/>
                <w:highlight w:val="none"/>
                <w:lang w:eastAsia="zh-CN"/>
                <w14:textFill>
                  <w14:solidFill>
                    <w14:schemeClr w14:val="tx1"/>
                  </w14:solidFill>
                </w14:textFill>
              </w:rPr>
              <w:t>）、莲花村住户（</w:t>
            </w:r>
            <w:r>
              <w:rPr>
                <w:rFonts w:hint="eastAsia" w:eastAsia="宋体"/>
                <w:color w:val="000000" w:themeColor="text1"/>
                <w:sz w:val="24"/>
                <w:szCs w:val="21"/>
                <w:highlight w:val="none"/>
                <w:lang w:val="en-US" w:eastAsia="zh-CN"/>
                <w14:textFill>
                  <w14:solidFill>
                    <w14:schemeClr w14:val="tx1"/>
                  </w14:solidFill>
                </w14:textFill>
              </w:rPr>
              <w:t>441~460m，约36人</w:t>
            </w:r>
            <w:r>
              <w:rPr>
                <w:rFonts w:hint="eastAsia" w:eastAsia="宋体"/>
                <w:color w:val="000000" w:themeColor="text1"/>
                <w:sz w:val="24"/>
                <w:szCs w:val="21"/>
                <w:highlight w:val="none"/>
                <w:lang w:eastAsia="zh-CN"/>
                <w14:textFill>
                  <w14:solidFill>
                    <w14:schemeClr w14:val="tx1"/>
                  </w14:solidFill>
                </w14:textFill>
              </w:rPr>
              <w:t>）</w:t>
            </w:r>
            <w:r>
              <w:rPr>
                <w:rFonts w:hint="eastAsia" w:eastAsia="宋体"/>
                <w:color w:val="000000" w:themeColor="text1"/>
                <w:kern w:val="2"/>
                <w:highlight w:val="none"/>
                <w14:textFill>
                  <w14:solidFill>
                    <w14:schemeClr w14:val="tx1"/>
                  </w14:solidFill>
                </w14:textFill>
              </w:rPr>
              <w:t>。</w:t>
            </w:r>
            <w:r>
              <w:rPr>
                <w:rFonts w:hint="eastAsia" w:eastAsia="宋体"/>
                <w:color w:val="000000" w:themeColor="text1"/>
                <w:kern w:val="2"/>
                <w:highlight w:val="none"/>
                <w:lang w:eastAsia="zh-CN"/>
                <w14:textFill>
                  <w14:solidFill>
                    <w14:schemeClr w14:val="tx1"/>
                  </w14:solidFill>
                </w14:textFill>
              </w:rPr>
              <w:t>本项目选址距离下风向居民点较远，同时在场地布局时，将生产车间及厂房较为集中设置于场地中部，远离周边居民，符合附件6 四川省生态环境厅《关于G42线南充至成都高速公路扩容工程环境影响报告书的批复》（川环审批【2020】29号）中“四、</w:t>
            </w:r>
            <w:r>
              <w:rPr>
                <w:rFonts w:hint="eastAsia" w:eastAsia="宋体"/>
                <w:color w:val="000000" w:themeColor="text1"/>
                <w:kern w:val="2"/>
                <w:highlight w:val="none"/>
                <w:lang w:val="en-US" w:eastAsia="zh-CN"/>
                <w14:textFill>
                  <w14:solidFill>
                    <w14:schemeClr w14:val="tx1"/>
                  </w14:solidFill>
                </w14:textFill>
              </w:rPr>
              <w:t>....混凝土拌和站、沥青拌和站等不得设置在学校、医院、居民点等保护目标的上风向，并尽量远离敏感点</w:t>
            </w:r>
            <w:r>
              <w:rPr>
                <w:rFonts w:hint="eastAsia" w:eastAsia="宋体"/>
                <w:color w:val="000000" w:themeColor="text1"/>
                <w:kern w:val="2"/>
                <w:highlight w:val="none"/>
                <w:lang w:eastAsia="zh-CN"/>
                <w14:textFill>
                  <w14:solidFill>
                    <w14:schemeClr w14:val="tx1"/>
                  </w14:solidFill>
                </w14:textFill>
              </w:rPr>
              <w:t>”的要求。</w:t>
            </w:r>
          </w:p>
          <w:p w14:paraId="5BC8C03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b/>
                <w:bCs/>
                <w:color w:val="000000" w:themeColor="text1"/>
                <w:kern w:val="2"/>
                <w:highlight w:val="none"/>
                <w14:textFill>
                  <w14:solidFill>
                    <w14:schemeClr w14:val="tx1"/>
                  </w14:solidFill>
                </w14:textFill>
              </w:rPr>
            </w:pPr>
            <w:r>
              <w:rPr>
                <w:rFonts w:hint="eastAsia" w:eastAsia="宋体"/>
                <w:color w:val="000000" w:themeColor="text1"/>
                <w:kern w:val="2"/>
                <w:highlight w:val="none"/>
                <w14:textFill>
                  <w14:solidFill>
                    <w14:schemeClr w14:val="tx1"/>
                  </w14:solidFill>
                </w14:textFill>
              </w:rPr>
              <w:t>另外项目</w:t>
            </w:r>
            <w:r>
              <w:rPr>
                <w:rFonts w:hint="eastAsia" w:eastAsia="宋体"/>
                <w:color w:val="000000" w:themeColor="text1"/>
                <w:kern w:val="2"/>
                <w:highlight w:val="none"/>
                <w:lang w:eastAsia="zh-CN"/>
                <w14:textFill>
                  <w14:solidFill>
                    <w14:schemeClr w14:val="tx1"/>
                  </w14:solidFill>
                </w14:textFill>
              </w:rPr>
              <w:t>评价</w:t>
            </w:r>
            <w:r>
              <w:rPr>
                <w:rFonts w:hint="eastAsia" w:eastAsia="宋体"/>
                <w:color w:val="000000" w:themeColor="text1"/>
                <w:kern w:val="2"/>
                <w:highlight w:val="none"/>
                <w14:textFill>
                  <w14:solidFill>
                    <w14:schemeClr w14:val="tx1"/>
                  </w14:solidFill>
                </w14:textFill>
              </w:rPr>
              <w:t>范围内</w:t>
            </w:r>
            <w:r>
              <w:rPr>
                <w:rFonts w:hint="eastAsia" w:eastAsia="宋体"/>
                <w:color w:val="000000" w:themeColor="text1"/>
                <w:kern w:val="2"/>
                <w:highlight w:val="none"/>
                <w:lang w:eastAsia="zh-CN"/>
                <w14:textFill>
                  <w14:solidFill>
                    <w14:schemeClr w14:val="tx1"/>
                  </w14:solidFill>
                </w14:textFill>
              </w:rPr>
              <w:t>不涉及</w:t>
            </w:r>
            <w:r>
              <w:rPr>
                <w:rFonts w:hint="eastAsia" w:eastAsia="宋体"/>
                <w:color w:val="000000" w:themeColor="text1"/>
                <w:kern w:val="2"/>
                <w:highlight w:val="none"/>
                <w14:textFill>
                  <w14:solidFill>
                    <w14:schemeClr w14:val="tx1"/>
                  </w14:solidFill>
                </w14:textFill>
              </w:rPr>
              <w:t>自然保护区、风景名胜区、世界文化和自然遗产地、饮用水水源保护区、基本农田保护区、重点文物古迹等</w:t>
            </w:r>
            <w:r>
              <w:rPr>
                <w:rFonts w:hint="eastAsia" w:eastAsia="宋体"/>
                <w:color w:val="000000" w:themeColor="text1"/>
                <w:kern w:val="2"/>
                <w:highlight w:val="none"/>
                <w:lang w:eastAsia="zh-CN"/>
                <w14:textFill>
                  <w14:solidFill>
                    <w14:schemeClr w14:val="tx1"/>
                  </w14:solidFill>
                </w14:textFill>
              </w:rPr>
              <w:t>需要保护的区域</w:t>
            </w:r>
            <w:r>
              <w:rPr>
                <w:rFonts w:hint="eastAsia" w:eastAsia="宋体"/>
                <w:color w:val="000000" w:themeColor="text1"/>
                <w:kern w:val="2"/>
                <w:highlight w:val="none"/>
                <w14:textFill>
                  <w14:solidFill>
                    <w14:schemeClr w14:val="tx1"/>
                  </w14:solidFill>
                </w14:textFill>
              </w:rPr>
              <w:t>。因此本项目与周边外环境相容。</w:t>
            </w:r>
            <w:r>
              <w:rPr>
                <w:rFonts w:hint="eastAsia" w:eastAsia="宋体"/>
                <w:b/>
                <w:bCs/>
                <w:color w:val="000000" w:themeColor="text1"/>
                <w:kern w:val="2"/>
                <w:highlight w:val="none"/>
                <w14:textFill>
                  <w14:solidFill>
                    <w14:schemeClr w14:val="tx1"/>
                  </w14:solidFill>
                </w14:textFill>
              </w:rPr>
              <w:t>综上所述，本项目外环境无重大环境制约因素，与外环境相容，选址合理。</w:t>
            </w:r>
          </w:p>
          <w:p w14:paraId="23FDB2E6">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b/>
                <w:bCs/>
                <w:color w:val="000000" w:themeColor="text1"/>
                <w:kern w:val="2"/>
                <w:highlight w:val="none"/>
                <w14:textFill>
                  <w14:solidFill>
                    <w14:schemeClr w14:val="tx1"/>
                  </w14:solidFill>
                </w14:textFill>
              </w:rPr>
            </w:pPr>
          </w:p>
          <w:p w14:paraId="55BBB46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b/>
                <w:bCs/>
                <w:color w:val="000000" w:themeColor="text1"/>
                <w:kern w:val="2"/>
                <w:highlight w:val="none"/>
                <w14:textFill>
                  <w14:solidFill>
                    <w14:schemeClr w14:val="tx1"/>
                  </w14:solidFill>
                </w14:textFill>
              </w:rPr>
            </w:pPr>
          </w:p>
          <w:p w14:paraId="7737ED1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b/>
                <w:bCs/>
                <w:color w:val="000000" w:themeColor="text1"/>
                <w:kern w:val="2"/>
                <w:highlight w:val="none"/>
                <w14:textFill>
                  <w14:solidFill>
                    <w14:schemeClr w14:val="tx1"/>
                  </w14:solidFill>
                </w14:textFill>
              </w:rPr>
            </w:pPr>
          </w:p>
          <w:p w14:paraId="002E05A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0CC00736">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6001AF0B">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7ACF9021">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6C94E46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1936D642">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7CB71FB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3AC492E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626986C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7A156DFC">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54F24A4F">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70A65C29">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1676DB10">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494453F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68EB908A">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6799FCCD">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055723F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52E2C261">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551002B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10EFC15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130A3548">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7EDD6617">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1FF3C085">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p w14:paraId="056A34B4">
            <w:pPr>
              <w:pStyle w:val="41"/>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eastAsia="宋体"/>
                <w:color w:val="000000" w:themeColor="text1"/>
                <w:sz w:val="24"/>
                <w:szCs w:val="24"/>
                <w:highlight w:val="none"/>
                <w:lang w:eastAsia="zh-CN"/>
                <w14:textFill>
                  <w14:solidFill>
                    <w14:schemeClr w14:val="tx1"/>
                  </w14:solidFill>
                </w14:textFill>
              </w:rPr>
            </w:pPr>
          </w:p>
        </w:tc>
      </w:tr>
    </w:tbl>
    <w:p w14:paraId="215036DF">
      <w:pPr>
        <w:pStyle w:val="10"/>
        <w:ind w:left="0" w:leftChars="0" w:right="1470"/>
        <w:rPr>
          <w:color w:val="000000" w:themeColor="text1"/>
          <w:highlight w:val="none"/>
          <w14:textFill>
            <w14:solidFill>
              <w14:schemeClr w14:val="tx1"/>
            </w14:solidFill>
          </w14:textFill>
        </w:rPr>
        <w:sectPr>
          <w:footerReference r:id="rId4" w:type="default"/>
          <w:pgSz w:w="11906" w:h="16838"/>
          <w:pgMar w:top="1417" w:right="1474"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B85708B">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3" w:name="_Toc80643342"/>
      <w:r>
        <w:rPr>
          <w:rFonts w:ascii="Times New Roman" w:hAnsi="Times New Roman" w:eastAsia="宋体"/>
          <w:b/>
          <w:bCs/>
          <w:snapToGrid w:val="0"/>
          <w:color w:val="000000" w:themeColor="text1"/>
          <w:kern w:val="0"/>
          <w:sz w:val="36"/>
          <w:szCs w:val="32"/>
          <w:highlight w:val="none"/>
          <w14:textFill>
            <w14:solidFill>
              <w14:schemeClr w14:val="tx1"/>
            </w14:solidFill>
          </w14:textFill>
        </w:rPr>
        <w:t>二、建设</w:t>
      </w:r>
      <w:bookmarkEnd w:id="3"/>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项目工程分析</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7"/>
        <w:gridCol w:w="8257"/>
      </w:tblGrid>
      <w:tr w14:paraId="1D216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pct"/>
            <w:shd w:val="clear" w:color="auto" w:fill="auto"/>
            <w:vAlign w:val="center"/>
          </w:tcPr>
          <w:p w14:paraId="1CCC1E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建设内容</w:t>
            </w:r>
          </w:p>
        </w:tc>
        <w:tc>
          <w:tcPr>
            <w:tcW w:w="4538" w:type="pct"/>
            <w:shd w:val="clear" w:color="auto" w:fill="auto"/>
            <w:vAlign w:val="center"/>
          </w:tcPr>
          <w:p w14:paraId="5E19598B">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lang w:eastAsia="zh-CN"/>
                <w14:textFill>
                  <w14:solidFill>
                    <w14:schemeClr w14:val="tx1"/>
                  </w14:solidFill>
                </w14:textFill>
              </w:rPr>
              <w:t>一</w:t>
            </w:r>
            <w:r>
              <w:rPr>
                <w:rFonts w:hint="eastAsia" w:ascii="Times New Roman" w:hAnsi="Times New Roman" w:eastAsia="宋体"/>
                <w:b/>
                <w:color w:val="000000" w:themeColor="text1"/>
                <w:sz w:val="24"/>
                <w:szCs w:val="24"/>
                <w:highlight w:val="none"/>
                <w14:textFill>
                  <w14:solidFill>
                    <w14:schemeClr w14:val="tx1"/>
                  </w14:solidFill>
                </w14:textFill>
              </w:rPr>
              <w:t>、项目由来</w:t>
            </w:r>
          </w:p>
          <w:p w14:paraId="21B8E0F1">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G42线南充至成都段高速公路扩容工程于2020年3月5日取得《四川省生态环境厅关于G42线南充至成都段高速公路扩容工程环境影响报告书的批复》（川环审批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20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29号）。主线扩容改造拟采用部分原路加宽扩建+部分新建方案。G42线南充至成都段高速公路扩容工程全长216.713km（其中沿原路扩建段长177.488km，新建段长39.225km）</w:t>
            </w:r>
            <w:r>
              <w:rPr>
                <w:rFonts w:hint="eastAsia" w:ascii="Times New Roman" w:hAnsi="Times New Roman" w:eastAsia="宋体"/>
                <w:color w:val="000000" w:themeColor="text1"/>
                <w:sz w:val="24"/>
                <w:szCs w:val="24"/>
                <w:highlight w:val="none"/>
                <w:lang w:eastAsia="zh-CN"/>
                <w14:textFill>
                  <w14:solidFill>
                    <w14:schemeClr w14:val="tx1"/>
                  </w14:solidFill>
                </w14:textFill>
              </w:rPr>
              <w:t>份不同标段由相应的施工单位承建，中交第三航务工程局有限公司承建南充至成都高速公路扩容工程土建施工LJ</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4"/>
                <w:highlight w:val="none"/>
                <w:lang w:eastAsia="zh-CN"/>
                <w14:textFill>
                  <w14:solidFill>
                    <w14:schemeClr w14:val="tx1"/>
                  </w14:solidFill>
                </w14:textFill>
              </w:rPr>
              <w:t>标段，本项目不属于</w:t>
            </w:r>
            <w:r>
              <w:rPr>
                <w:rFonts w:hint="eastAsia" w:ascii="Times New Roman" w:hAnsi="Times New Roman" w:eastAsia="宋体"/>
                <w:color w:val="000000" w:themeColor="text1"/>
                <w:sz w:val="24"/>
                <w:szCs w:val="24"/>
                <w:highlight w:val="none"/>
                <w14:textFill>
                  <w14:solidFill>
                    <w14:schemeClr w14:val="tx1"/>
                  </w14:solidFill>
                </w14:textFill>
              </w:rPr>
              <w:t>G42线南充至成都段高速公路扩容工程环境影响报告书</w:t>
            </w:r>
            <w:r>
              <w:rPr>
                <w:rFonts w:hint="eastAsia" w:ascii="Times New Roman" w:hAnsi="Times New Roman" w:eastAsia="宋体"/>
                <w:color w:val="000000" w:themeColor="text1"/>
                <w:sz w:val="24"/>
                <w:szCs w:val="24"/>
                <w:highlight w:val="none"/>
                <w:lang w:eastAsia="zh-CN"/>
                <w14:textFill>
                  <w14:solidFill>
                    <w14:schemeClr w14:val="tx1"/>
                  </w14:solidFill>
                </w14:textFill>
              </w:rPr>
              <w:t>评价的预制场、施工驻地及拌和场。</w:t>
            </w:r>
          </w:p>
          <w:p w14:paraId="1282F136">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hint="default"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本项目主要供应施工路段为K1811.214+100~K1832+369.184，</w:t>
            </w:r>
            <w:r>
              <w:rPr>
                <w:rFonts w:ascii="宋体" w:hAnsi="宋体" w:eastAsia="宋体" w:cs="宋体"/>
                <w:color w:val="000000" w:themeColor="text1"/>
                <w:sz w:val="24"/>
                <w:szCs w:val="24"/>
                <w:highlight w:val="none"/>
                <w14:textFill>
                  <w14:solidFill>
                    <w14:schemeClr w14:val="tx1"/>
                  </w14:solidFill>
                </w14:textFill>
              </w:rPr>
              <w:t>距离</w:t>
            </w:r>
            <w:r>
              <w:rPr>
                <w:rFonts w:hint="eastAsia" w:ascii="Times New Roman" w:hAnsi="Times New Roman" w:eastAsia="宋体"/>
                <w:color w:val="000000" w:themeColor="text1"/>
                <w:sz w:val="24"/>
                <w:szCs w:val="24"/>
                <w:highlight w:val="none"/>
                <w14:textFill>
                  <w14:solidFill>
                    <w14:schemeClr w14:val="tx1"/>
                  </w14:solidFill>
                </w14:textFill>
              </w:rPr>
              <w:t>G42线南充至成都段高速公路扩容工程环境影响报告书</w:t>
            </w:r>
            <w:r>
              <w:rPr>
                <w:rFonts w:hint="eastAsia" w:ascii="Times New Roman" w:hAnsi="Times New Roman" w:eastAsia="宋体"/>
                <w:color w:val="000000" w:themeColor="text1"/>
                <w:sz w:val="24"/>
                <w:szCs w:val="24"/>
                <w:highlight w:val="none"/>
                <w:lang w:eastAsia="zh-CN"/>
                <w14:textFill>
                  <w14:solidFill>
                    <w14:schemeClr w14:val="tx1"/>
                  </w14:solidFill>
                </w14:textFill>
              </w:rPr>
              <w:t>评价的预制场、施工驻地及拌和场距离较远</w:t>
            </w:r>
            <w:r>
              <w:rPr>
                <w:rFonts w:hint="default" w:ascii="Times New Roman" w:hAnsi="Times New Roman" w:eastAsia="宋体" w:cs="Times New Roman"/>
                <w:color w:val="000000" w:themeColor="text1"/>
                <w:sz w:val="24"/>
                <w:szCs w:val="24"/>
                <w:highlight w:val="none"/>
                <w14:textFill>
                  <w14:solidFill>
                    <w14:schemeClr w14:val="tx1"/>
                  </w14:solidFill>
                </w14:textFill>
              </w:rPr>
              <w:t>，易造成混凝土罐车长时间堵塞，从而导致混凝土在运输过程中产生初凝。</w:t>
            </w:r>
            <w:r>
              <w:rPr>
                <w:rFonts w:hint="eastAsia" w:ascii="Times New Roman" w:hAnsi="Times New Roman" w:eastAsia="宋体"/>
                <w:color w:val="000000" w:themeColor="text1"/>
                <w:sz w:val="24"/>
                <w:szCs w:val="24"/>
                <w:highlight w:val="none"/>
                <w14:textFill>
                  <w14:solidFill>
                    <w14:schemeClr w14:val="tx1"/>
                  </w14:solidFill>
                </w14:textFill>
              </w:rPr>
              <w:t>为满足G42线南充至成都段高速公路扩容工程</w:t>
            </w:r>
            <w:r>
              <w:rPr>
                <w:rFonts w:hint="eastAsia" w:ascii="Times New Roman" w:hAnsi="Times New Roman" w:eastAsia="宋体"/>
                <w:color w:val="000000" w:themeColor="text1"/>
                <w:sz w:val="24"/>
                <w:szCs w:val="24"/>
                <w:highlight w:val="none"/>
                <w:lang w:eastAsia="zh-CN"/>
                <w14:textFill>
                  <w14:solidFill>
                    <w14:schemeClr w14:val="tx1"/>
                  </w14:solidFill>
                </w14:textFill>
              </w:rPr>
              <w:t>主体工程土建施工</w:t>
            </w:r>
            <w:r>
              <w:rPr>
                <w:rFonts w:hint="eastAsia" w:ascii="Times New Roman" w:hAnsi="Times New Roman" w:eastAsia="宋体"/>
                <w:color w:val="000000" w:themeColor="text1"/>
                <w:sz w:val="24"/>
                <w:szCs w:val="24"/>
                <w:highlight w:val="none"/>
                <w14:textFill>
                  <w14:solidFill>
                    <w14:schemeClr w14:val="tx1"/>
                  </w14:solidFill>
                </w14:textFill>
              </w:rPr>
              <w:t>的</w:t>
            </w:r>
            <w:r>
              <w:rPr>
                <w:rFonts w:hint="eastAsia" w:ascii="Times New Roman" w:hAnsi="Times New Roman" w:eastAsia="宋体"/>
                <w:color w:val="000000" w:themeColor="text1"/>
                <w:sz w:val="24"/>
                <w:szCs w:val="24"/>
                <w:highlight w:val="none"/>
                <w:lang w:eastAsia="zh-CN"/>
                <w14:textFill>
                  <w14:solidFill>
                    <w14:schemeClr w14:val="tx1"/>
                  </w14:solidFill>
                </w14:textFill>
              </w:rPr>
              <w:t>碎石、水稳基层材料、钢结构件、</w:t>
            </w:r>
            <w:r>
              <w:rPr>
                <w:rFonts w:hint="eastAsia" w:ascii="Times New Roman" w:hAnsi="Times New Roman" w:eastAsia="宋体"/>
                <w:color w:val="000000" w:themeColor="text1"/>
                <w:sz w:val="24"/>
                <w:szCs w:val="24"/>
                <w:highlight w:val="none"/>
                <w14:textFill>
                  <w14:solidFill>
                    <w14:schemeClr w14:val="tx1"/>
                  </w14:solidFill>
                </w14:textFill>
              </w:rPr>
              <w:t>混凝土及</w:t>
            </w:r>
            <w:r>
              <w:rPr>
                <w:rFonts w:hint="eastAsia" w:ascii="Times New Roman" w:hAnsi="Times New Roman" w:eastAsia="宋体"/>
                <w:color w:val="000000" w:themeColor="text1"/>
                <w:sz w:val="24"/>
                <w:szCs w:val="24"/>
                <w:highlight w:val="none"/>
                <w:lang w:eastAsia="zh-CN"/>
                <w14:textFill>
                  <w14:solidFill>
                    <w14:schemeClr w14:val="tx1"/>
                  </w14:solidFill>
                </w14:textFill>
              </w:rPr>
              <w:t>预制件</w:t>
            </w:r>
            <w:r>
              <w:rPr>
                <w:rFonts w:hint="eastAsia" w:ascii="Times New Roman" w:hAnsi="Times New Roman" w:eastAsia="宋体"/>
                <w:color w:val="000000" w:themeColor="text1"/>
                <w:sz w:val="24"/>
                <w:szCs w:val="24"/>
                <w:highlight w:val="none"/>
                <w14:textFill>
                  <w14:solidFill>
                    <w14:schemeClr w14:val="tx1"/>
                  </w14:solidFill>
                </w14:textFill>
              </w:rPr>
              <w:t>需要，节约资源及运输成本，</w:t>
            </w: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r>
              <w:rPr>
                <w:rFonts w:hint="eastAsia" w:ascii="Times New Roman" w:hAnsi="Times New Roman" w:eastAsia="宋体"/>
                <w:color w:val="000000" w:themeColor="text1"/>
                <w:sz w:val="24"/>
                <w:szCs w:val="24"/>
                <w:highlight w:val="none"/>
                <w14:textFill>
                  <w14:solidFill>
                    <w14:schemeClr w14:val="tx1"/>
                  </w14:solidFill>
                </w14:textFill>
              </w:rPr>
              <w:t>拟投资</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1150</w:t>
            </w:r>
            <w:r>
              <w:rPr>
                <w:rFonts w:hint="eastAsia" w:ascii="Times New Roman" w:hAnsi="Times New Roman" w:eastAsia="宋体"/>
                <w:color w:val="000000" w:themeColor="text1"/>
                <w:sz w:val="24"/>
                <w:szCs w:val="24"/>
                <w:highlight w:val="none"/>
                <w14:textFill>
                  <w14:solidFill>
                    <w14:schemeClr w14:val="tx1"/>
                  </w14:solidFill>
                </w14:textFill>
              </w:rPr>
              <w:t>万元建设</w:t>
            </w:r>
            <w:r>
              <w:rPr>
                <w:rFonts w:hint="eastAsia" w:ascii="Times New Roman" w:hAnsi="Times New Roman" w:eastAsia="宋体"/>
                <w:color w:val="000000" w:themeColor="text1"/>
                <w:sz w:val="24"/>
                <w:szCs w:val="24"/>
                <w:highlight w:val="none"/>
                <w:lang w:eastAsia="zh-CN"/>
                <w14:textFill>
                  <w14:solidFill>
                    <w14:schemeClr w14:val="tx1"/>
                  </w14:solidFill>
                </w14:textFill>
              </w:rPr>
              <w:t>南充至成都高速公路扩容工程LJ5标段3#站</w:t>
            </w:r>
            <w:r>
              <w:rPr>
                <w:rFonts w:hint="eastAsia" w:ascii="Times New Roman" w:hAnsi="Times New Roman" w:eastAsia="宋体"/>
                <w:color w:val="000000" w:themeColor="text1"/>
                <w:sz w:val="24"/>
                <w:szCs w:val="24"/>
                <w:highlight w:val="none"/>
                <w14:textFill>
                  <w14:solidFill>
                    <w14:schemeClr w14:val="tx1"/>
                  </w14:solidFill>
                </w14:textFill>
              </w:rPr>
              <w:t>（以下简称“本项目”），项目占地面积为</w:t>
            </w:r>
            <w:r>
              <w:rPr>
                <w:rFonts w:hint="default" w:ascii="Times New Roman" w:hAnsi="Times New Roman" w:eastAsia="宋体" w:cs="Times New Roman"/>
                <w:color w:val="000000" w:themeColor="text1"/>
                <w:sz w:val="24"/>
                <w:szCs w:val="24"/>
                <w:highlight w:val="none"/>
                <w14:textFill>
                  <w14:solidFill>
                    <w14:schemeClr w14:val="tx1"/>
                  </w14:solidFill>
                </w14:textFill>
              </w:rPr>
              <w:t>598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47</w:t>
            </w:r>
            <w:r>
              <w:rPr>
                <w:rFonts w:hint="eastAsia" w:ascii="Times New Roman" w:hAnsi="Times New Roman" w:eastAsia="宋体"/>
                <w:color w:val="000000" w:themeColor="text1"/>
                <w:sz w:val="24"/>
                <w:szCs w:val="24"/>
                <w:highlight w:val="none"/>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建设</w:t>
            </w:r>
            <w:r>
              <w:rPr>
                <w:rFonts w:hint="eastAsia" w:ascii="Times New Roman" w:hAnsi="Times New Roman" w:eastAsia="宋体"/>
                <w:color w:val="000000" w:themeColor="text1"/>
                <w:sz w:val="24"/>
                <w:szCs w:val="24"/>
                <w:highlight w:val="none"/>
                <w14:textFill>
                  <w14:solidFill>
                    <w14:schemeClr w14:val="tx1"/>
                  </w14:solidFill>
                </w14:textFill>
              </w:rPr>
              <w:t>碎石加工场、水稳站、混凝土拌和站、预制梁场、钢筋加工场、办公生活区等，</w:t>
            </w:r>
            <w:r>
              <w:rPr>
                <w:rFonts w:hint="default" w:ascii="Times New Roman" w:hAnsi="Times New Roman" w:eastAsia="宋体" w:cs="Times New Roman"/>
                <w:color w:val="000000" w:themeColor="text1"/>
                <w:sz w:val="24"/>
                <w:highlight w:val="none"/>
                <w14:textFill>
                  <w14:solidFill>
                    <w14:schemeClr w14:val="tx1"/>
                  </w14:solidFill>
                </w14:textFill>
              </w:rPr>
              <w:t>建成后</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生产</w:t>
            </w:r>
            <w:r>
              <w:rPr>
                <w:rFonts w:hint="default" w:ascii="Times New Roman" w:hAnsi="Times New Roman" w:eastAsia="宋体" w:cs="Times New Roman"/>
                <w:color w:val="000000" w:themeColor="text1"/>
                <w:sz w:val="24"/>
                <w:highlight w:val="none"/>
                <w14:textFill>
                  <w14:solidFill>
                    <w14:schemeClr w14:val="tx1"/>
                  </w14:solidFill>
                </w14:textFill>
              </w:rPr>
              <w:t>碎石</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.25</w:t>
            </w:r>
            <w:r>
              <w:rPr>
                <w:rFonts w:hint="default" w:ascii="Times New Roman" w:hAnsi="Times New Roman" w:eastAsia="宋体" w:cs="Times New Roman"/>
                <w:color w:val="000000" w:themeColor="text1"/>
                <w:sz w:val="24"/>
                <w:highlight w:val="none"/>
                <w14:textFill>
                  <w14:solidFill>
                    <w14:schemeClr w14:val="tx1"/>
                  </w14:solidFill>
                </w14:textFill>
              </w:rPr>
              <w:t>万</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m</w:t>
            </w:r>
            <w:r>
              <w:rPr>
                <w:rFonts w:hint="eastAsia"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水稳基层材料</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10.88</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万方/年，</w:t>
            </w:r>
            <w:r>
              <w:rPr>
                <w:rFonts w:hint="default" w:ascii="Times New Roman" w:hAnsi="Times New Roman" w:eastAsia="宋体" w:cs="Times New Roman"/>
                <w:color w:val="000000" w:themeColor="text1"/>
                <w:sz w:val="24"/>
                <w:highlight w:val="none"/>
                <w14:textFill>
                  <w14:solidFill>
                    <w14:schemeClr w14:val="tx1"/>
                  </w14:solidFill>
                </w14:textFill>
              </w:rPr>
              <w:t>混凝土</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highlight w:val="none"/>
                <w14:textFill>
                  <w14:solidFill>
                    <w14:schemeClr w14:val="tx1"/>
                  </w14:solidFill>
                </w14:textFill>
              </w:rPr>
              <w:t>万方</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，预制梁</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283</w:t>
            </w:r>
            <w:r>
              <w:rPr>
                <w:rFonts w:hint="default" w:ascii="Times New Roman" w:hAnsi="Times New Roman" w:eastAsia="宋体" w:cs="Times New Roman"/>
                <w:color w:val="000000" w:themeColor="text1"/>
                <w:sz w:val="24"/>
                <w:highlight w:val="none"/>
                <w14:textFill>
                  <w14:solidFill>
                    <w14:schemeClr w14:val="tx1"/>
                  </w14:solidFill>
                </w14:textFill>
              </w:rPr>
              <w:t>片</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其他</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钢筋结构</w:t>
            </w:r>
            <w:r>
              <w:rPr>
                <w:rFonts w:hint="default" w:ascii="Times New Roman" w:hAnsi="Times New Roman" w:eastAsia="宋体" w:cs="Times New Roman"/>
                <w:color w:val="000000" w:themeColor="text1"/>
                <w:sz w:val="24"/>
                <w:highlight w:val="none"/>
                <w14:textFill>
                  <w14:solidFill>
                    <w14:schemeClr w14:val="tx1"/>
                  </w14:solidFill>
                </w14:textFill>
              </w:rPr>
              <w:t>件</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8100</w:t>
            </w:r>
            <w:r>
              <w:rPr>
                <w:rFonts w:hint="default" w:ascii="Times New Roman" w:hAnsi="Times New Roman" w:eastAsia="宋体" w:cs="Times New Roman"/>
                <w:color w:val="000000" w:themeColor="text1"/>
                <w:sz w:val="24"/>
                <w:highlight w:val="none"/>
                <w14:textFill>
                  <w14:solidFill>
                    <w14:schemeClr w14:val="tx1"/>
                  </w14:solidFill>
                </w14:textFill>
              </w:rPr>
              <w:t>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碎石、水稳基层材料全部用于主体施工</w:t>
            </w:r>
            <w:r>
              <w:rPr>
                <w:rFonts w:hint="default" w:ascii="Times New Roman" w:hAnsi="Times New Roman" w:eastAsia="宋体" w:cs="Times New Roman"/>
                <w:color w:val="000000" w:themeColor="text1"/>
                <w:sz w:val="24"/>
                <w:highlight w:val="none"/>
                <w14:textFill>
                  <w14:solidFill>
                    <w14:schemeClr w14:val="tx1"/>
                  </w14:solidFill>
                </w14:textFill>
              </w:rPr>
              <w:t>，部分</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钢筋结构件、</w:t>
            </w:r>
            <w:r>
              <w:rPr>
                <w:rFonts w:hint="default" w:ascii="Times New Roman" w:hAnsi="Times New Roman" w:eastAsia="宋体" w:cs="Times New Roman"/>
                <w:color w:val="000000" w:themeColor="text1"/>
                <w:sz w:val="24"/>
                <w:highlight w:val="none"/>
                <w14:textFill>
                  <w14:solidFill>
                    <w14:schemeClr w14:val="tx1"/>
                  </w14:solidFill>
                </w14:textFill>
              </w:rPr>
              <w:t>混凝土用于预制件生产，剩余</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钢筋结构件</w:t>
            </w:r>
            <w:r>
              <w:rPr>
                <w:rFonts w:hint="default" w:ascii="Times New Roman" w:hAnsi="Times New Roman" w:eastAsia="宋体" w:cs="Times New Roman"/>
                <w:color w:val="000000" w:themeColor="text1"/>
                <w:sz w:val="24"/>
                <w:highlight w:val="none"/>
                <w14:textFill>
                  <w14:solidFill>
                    <w14:schemeClr w14:val="tx1"/>
                  </w14:solidFill>
                </w14:textFill>
              </w:rPr>
              <w:t>及混凝土用于成南高速公路扩容工程项目主体工程施工。</w:t>
            </w:r>
            <w:r>
              <w:rPr>
                <w:rFonts w:hint="eastAsia" w:ascii="Times New Roman" w:hAnsi="Times New Roman" w:eastAsia="宋体"/>
                <w:color w:val="000000" w:themeColor="text1"/>
                <w:sz w:val="24"/>
                <w:szCs w:val="24"/>
                <w:highlight w:val="none"/>
                <w:lang w:eastAsia="zh-CN"/>
                <w14:textFill>
                  <w14:solidFill>
                    <w14:schemeClr w14:val="tx1"/>
                  </w14:solidFill>
                </w14:textFill>
              </w:rPr>
              <w:t>项目已于</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2022年9月14日</w:t>
            </w:r>
            <w:r>
              <w:rPr>
                <w:rFonts w:hint="eastAsia" w:ascii="Times New Roman" w:hAnsi="Times New Roman" w:eastAsia="宋体"/>
                <w:color w:val="000000" w:themeColor="text1"/>
                <w:sz w:val="24"/>
                <w:szCs w:val="24"/>
                <w:highlight w:val="none"/>
                <w:lang w:eastAsia="zh-CN"/>
                <w14:textFill>
                  <w14:solidFill>
                    <w14:schemeClr w14:val="tx1"/>
                  </w14:solidFill>
                </w14:textFill>
              </w:rPr>
              <w:t>取得四川省固定资产投资项目备案表（备案号：</w:t>
            </w:r>
            <w:r>
              <w:rPr>
                <w:rFonts w:hint="eastAsia" w:ascii="Times New Roman" w:hAnsi="Times New Roman" w:eastAsia="宋体"/>
                <w:b w:val="0"/>
                <w:bCs w:val="0"/>
                <w:color w:val="000000" w:themeColor="text1"/>
                <w:sz w:val="24"/>
                <w:szCs w:val="24"/>
                <w:highlight w:val="none"/>
                <w14:textFill>
                  <w14:solidFill>
                    <w14:schemeClr w14:val="tx1"/>
                  </w14:solidFill>
                </w14:textFill>
              </w:rPr>
              <w:t>川投资备【2209-510921-99-01-203288】FGQB-0120号</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102A79E5">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本项目不涉及砂石开采和销售，所需砂石原料均为外购。本项目为成南高速公路扩容工程项目LJ</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szCs w:val="24"/>
                <w:highlight w:val="none"/>
                <w14:textFill>
                  <w14:solidFill>
                    <w14:schemeClr w14:val="tx1"/>
                  </w14:solidFill>
                </w14:textFill>
              </w:rPr>
              <w:t>标段配套项目，其产品只供给成南高速公路扩容工程项目LJ</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szCs w:val="24"/>
                <w:highlight w:val="none"/>
                <w14:textFill>
                  <w14:solidFill>
                    <w14:schemeClr w14:val="tx1"/>
                  </w14:solidFill>
                </w14:textFill>
              </w:rPr>
              <w:t>标段建设使用，不外售。</w:t>
            </w:r>
            <w:r>
              <w:rPr>
                <w:rFonts w:hint="eastAsia" w:ascii="Times New Roman" w:hAnsi="Times New Roman" w:eastAsia="宋体"/>
                <w:b/>
                <w:bCs/>
                <w:color w:val="000000" w:themeColor="text1"/>
                <w:sz w:val="24"/>
                <w:szCs w:val="24"/>
                <w:highlight w:val="none"/>
                <w:lang w:eastAsia="zh-CN"/>
                <w14:textFill>
                  <w14:solidFill>
                    <w14:schemeClr w14:val="tx1"/>
                  </w14:solidFill>
                </w14:textFill>
              </w:rPr>
              <w:t>本项目为临时工程，</w:t>
            </w:r>
            <w:r>
              <w:rPr>
                <w:rFonts w:hint="eastAsia" w:ascii="Times New Roman" w:hAnsi="Times New Roman" w:eastAsia="宋体"/>
                <w:b/>
                <w:bCs/>
                <w:color w:val="000000" w:themeColor="text1"/>
                <w:sz w:val="24"/>
                <w:szCs w:val="24"/>
                <w:highlight w:val="none"/>
                <w14:textFill>
                  <w14:solidFill>
                    <w14:schemeClr w14:val="tx1"/>
                  </w14:solidFill>
                </w14:textFill>
              </w:rPr>
              <w:t>服务期至成南高速公路扩容工程项目LJ</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szCs w:val="24"/>
                <w:highlight w:val="none"/>
                <w14:textFill>
                  <w14:solidFill>
                    <w14:schemeClr w14:val="tx1"/>
                  </w14:solidFill>
                </w14:textFill>
              </w:rPr>
              <w:t>标段施工结束（预计服务期为3年，2022年</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
                <w:bCs/>
                <w:color w:val="000000" w:themeColor="text1"/>
                <w:sz w:val="24"/>
                <w:szCs w:val="24"/>
                <w:highlight w:val="none"/>
                <w14:textFill>
                  <w14:solidFill>
                    <w14:schemeClr w14:val="tx1"/>
                  </w14:solidFill>
                </w14:textFill>
              </w:rPr>
              <w:t>月~2025年</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
                <w:bCs/>
                <w:color w:val="000000" w:themeColor="text1"/>
                <w:sz w:val="24"/>
                <w:szCs w:val="24"/>
                <w:highlight w:val="none"/>
                <w14:textFill>
                  <w14:solidFill>
                    <w14:schemeClr w14:val="tx1"/>
                  </w14:solidFill>
                </w14:textFill>
              </w:rPr>
              <w:t>月），并在服务期满后</w:t>
            </w:r>
            <w:r>
              <w:rPr>
                <w:rFonts w:hint="eastAsia" w:ascii="Times New Roman" w:hAnsi="Times New Roman" w:eastAsia="宋体"/>
                <w:b/>
                <w:bCs/>
                <w:color w:val="000000" w:themeColor="text1"/>
                <w:sz w:val="24"/>
                <w:szCs w:val="24"/>
                <w:highlight w:val="none"/>
                <w:lang w:eastAsia="zh-CN"/>
                <w14:textFill>
                  <w14:solidFill>
                    <w14:schemeClr w14:val="tx1"/>
                  </w14:solidFill>
                </w14:textFill>
              </w:rPr>
              <w:t>退出，无需进行土地复垦</w:t>
            </w:r>
            <w:r>
              <w:rPr>
                <w:rFonts w:hint="eastAsia" w:ascii="Times New Roman" w:hAnsi="Times New Roman" w:eastAsia="宋体"/>
                <w:b/>
                <w:bCs/>
                <w:color w:val="000000" w:themeColor="text1"/>
                <w:sz w:val="24"/>
                <w:szCs w:val="24"/>
                <w:highlight w:val="none"/>
                <w14:textFill>
                  <w14:solidFill>
                    <w14:schemeClr w14:val="tx1"/>
                  </w14:solidFill>
                </w14:textFill>
              </w:rPr>
              <w:t>（</w:t>
            </w:r>
            <w:r>
              <w:rPr>
                <w:rFonts w:hint="eastAsia" w:ascii="Times New Roman" w:hAnsi="Times New Roman" w:eastAsia="宋体"/>
                <w:b/>
                <w:bCs/>
                <w:color w:val="000000" w:themeColor="text1"/>
                <w:sz w:val="24"/>
                <w:szCs w:val="24"/>
                <w:highlight w:val="none"/>
                <w:lang w:eastAsia="zh-CN"/>
                <w14:textFill>
                  <w14:solidFill>
                    <w14:schemeClr w14:val="tx1"/>
                  </w14:solidFill>
                </w14:textFill>
              </w:rPr>
              <w:t>见</w:t>
            </w:r>
            <w:r>
              <w:rPr>
                <w:rFonts w:hint="eastAsia" w:ascii="Times New Roman" w:hAnsi="Times New Roman" w:eastAsia="宋体"/>
                <w:b/>
                <w:bCs/>
                <w:color w:val="000000" w:themeColor="text1"/>
                <w:sz w:val="24"/>
                <w:szCs w:val="24"/>
                <w:highlight w:val="none"/>
                <w14:textFill>
                  <w14:solidFill>
                    <w14:schemeClr w14:val="tx1"/>
                  </w14:solidFill>
                </w14:textFill>
              </w:rPr>
              <w:t>附件</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5-2</w:t>
            </w:r>
            <w:r>
              <w:rPr>
                <w:rFonts w:hint="eastAsia" w:ascii="Times New Roman" w:hAnsi="Times New Roman" w:eastAsia="宋体"/>
                <w:b/>
                <w:bCs/>
                <w:color w:val="000000" w:themeColor="text1"/>
                <w:sz w:val="24"/>
                <w:szCs w:val="24"/>
                <w:highlight w:val="none"/>
                <w14:textFill>
                  <w14:solidFill>
                    <w14:schemeClr w14:val="tx1"/>
                  </w14:solidFill>
                </w14:textFill>
              </w:rPr>
              <w:t>）。</w:t>
            </w:r>
          </w:p>
          <w:p w14:paraId="42AB7C35">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按照《中华人民共和国环境保护法》（中华人民共和国主席令 第九号）、《中华人民共和国环境影响评价法》（中华人民共和国主席令 第二十四号）和《建设项目环境保护管理条例》（国务院</w:t>
            </w:r>
            <w:r>
              <w:rPr>
                <w:rFonts w:hint="eastAsia" w:ascii="Times New Roman" w:hAnsi="Times New Roman" w:eastAsia="宋体"/>
                <w:color w:val="000000" w:themeColor="text1"/>
                <w:sz w:val="24"/>
                <w:szCs w:val="24"/>
                <w:highlight w:val="none"/>
                <w14:textFill>
                  <w14:solidFill>
                    <w14:schemeClr w14:val="tx1"/>
                  </w14:solidFill>
                </w14:textFill>
              </w:rPr>
              <w:t>令</w:t>
            </w:r>
            <w:r>
              <w:rPr>
                <w:rFonts w:ascii="Times New Roman" w:hAnsi="Times New Roman" w:eastAsia="宋体"/>
                <w:color w:val="000000" w:themeColor="text1"/>
                <w:sz w:val="24"/>
                <w:szCs w:val="24"/>
                <w:highlight w:val="none"/>
                <w14:textFill>
                  <w14:solidFill>
                    <w14:schemeClr w14:val="tx1"/>
                  </w14:solidFill>
                </w14:textFill>
              </w:rPr>
              <w:t>第682号令）的要求，建设项目应进行环境影响评价。</w:t>
            </w:r>
          </w:p>
          <w:p w14:paraId="6F9A6CE2">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根据项目建设内容及项目外环境关系调查，查阅《建设项目环境影响评价分类管理名录（2021年版）》（生态环境部 部令第16号），本项目情况如下：</w:t>
            </w:r>
          </w:p>
          <w:p w14:paraId="0225A41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bidi="ar"/>
                <w14:textFill>
                  <w14:solidFill>
                    <w14:schemeClr w14:val="tx1"/>
                  </w14:solidFill>
                </w14:textFill>
              </w:rPr>
              <w:t>2</w:t>
            </w:r>
            <w:r>
              <w:rPr>
                <w:rFonts w:ascii="Times New Roman" w:hAnsi="Times New Roman" w:eastAsia="宋体"/>
                <w:b/>
                <w:bCs/>
                <w:color w:val="000000" w:themeColor="text1"/>
                <w:szCs w:val="21"/>
                <w:highlight w:val="none"/>
                <w:lang w:bidi="ar"/>
                <w14:textFill>
                  <w14:solidFill>
                    <w14:schemeClr w14:val="tx1"/>
                  </w14:solidFill>
                </w14:textFill>
              </w:rPr>
              <w:t>-1</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 xml:space="preserve">    </w:t>
            </w:r>
            <w:r>
              <w:rPr>
                <w:rFonts w:ascii="Times New Roman" w:hAnsi="Times New Roman" w:eastAsia="宋体"/>
                <w:b/>
                <w:bCs/>
                <w:color w:val="000000" w:themeColor="text1"/>
                <w:szCs w:val="21"/>
                <w:highlight w:val="none"/>
                <w:lang w:bidi="ar"/>
                <w14:textFill>
                  <w14:solidFill>
                    <w14:schemeClr w14:val="tx1"/>
                  </w14:solidFill>
                </w14:textFill>
              </w:rPr>
              <w:t>《建设项目环境影响评价分类管理名录》摘录</w:t>
            </w:r>
          </w:p>
          <w:tbl>
            <w:tblPr>
              <w:tblStyle w:val="20"/>
              <w:tblW w:w="4997" w:type="pct"/>
              <w:jc w:val="center"/>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1"/>
              <w:gridCol w:w="1756"/>
              <w:gridCol w:w="1087"/>
              <w:gridCol w:w="2294"/>
              <w:gridCol w:w="901"/>
              <w:gridCol w:w="1362"/>
            </w:tblGrid>
            <w:tr w14:paraId="2E231EEE">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6" w:type="pct"/>
                  <w:gridSpan w:val="2"/>
                  <w:tcBorders>
                    <w:top w:val="single" w:color="auto" w:sz="12" w:space="0"/>
                  </w:tcBorders>
                  <w:vAlign w:val="center"/>
                </w:tcPr>
                <w:p w14:paraId="265EF7F7">
                  <w:pPr>
                    <w:adjustRightInd w:val="0"/>
                    <w:snapToGrid w:val="0"/>
                    <w:spacing w:line="360" w:lineRule="exact"/>
                    <w:jc w:val="right"/>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-80645</wp:posOffset>
                            </wp:positionH>
                            <wp:positionV relativeFrom="paragraph">
                              <wp:posOffset>3175</wp:posOffset>
                            </wp:positionV>
                            <wp:extent cx="1513205" cy="446405"/>
                            <wp:effectExtent l="2540" t="7620" r="8255" b="22225"/>
                            <wp:wrapNone/>
                            <wp:docPr id="16" name="直接连接符 16"/>
                            <wp:cNvGraphicFramePr/>
                            <a:graphic xmlns:a="http://schemas.openxmlformats.org/drawingml/2006/main">
                              <a:graphicData uri="http://schemas.microsoft.com/office/word/2010/wordprocessingShape">
                                <wps:wsp>
                                  <wps:cNvCnPr/>
                                  <wps:spPr>
                                    <a:xfrm>
                                      <a:off x="0" y="0"/>
                                      <a:ext cx="1513205" cy="446405"/>
                                    </a:xfrm>
                                    <a:prstGeom prst="line">
                                      <a:avLst/>
                                    </a:prstGeom>
                                    <a:ln w="1587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6.35pt;margin-top:0.25pt;height:35.15pt;width:119.15pt;z-index:251660288;mso-width-relative:page;mso-height-relative:page;" filled="f" stroked="t" coordsize="21600,21600" o:gfxdata="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fxtte1wAAAAcBAAAPAAAAAAAAAAEAIAAAACIAAABkcnMvZG93bnJldi54bWxQSwECFAAUAAAA&#10;CACHTuJALu0m0O8BAADgAwAADgAAAAAAAAABACAAAAAmAQAAZHJzL2Uyb0RvYy54bWxQSwUGAAAA&#10;AAYABgBZAQAAhwUAAAAA&#10;">
                            <v:fill on="f" focussize="0,0"/>
                            <v:stroke weight="1.25pt" color="#000000" joinstyle="round"/>
                            <v:imagedata o:title=""/>
                            <o:lock v:ext="edit" aspectratio="f"/>
                          </v:line>
                        </w:pict>
                      </mc:Fallback>
                    </mc:AlternateContent>
                  </w:r>
                  <w:r>
                    <w:rPr>
                      <w:rFonts w:ascii="Times New Roman" w:hAnsi="Times New Roman" w:eastAsia="宋体"/>
                      <w:b/>
                      <w:bCs/>
                      <w:color w:val="000000" w:themeColor="text1"/>
                      <w:szCs w:val="21"/>
                      <w:highlight w:val="none"/>
                      <w:lang w:bidi="ar"/>
                      <w14:textFill>
                        <w14:solidFill>
                          <w14:schemeClr w14:val="tx1"/>
                        </w14:solidFill>
                      </w14:textFill>
                    </w:rPr>
                    <w:t>环评类别</w:t>
                  </w:r>
                </w:p>
                <w:p w14:paraId="16BE828B">
                  <w:pPr>
                    <w:adjustRightInd w:val="0"/>
                    <w:snapToGrid w:val="0"/>
                    <w:spacing w:line="360" w:lineRule="exact"/>
                    <w:jc w:val="left"/>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项目类别</w:t>
                  </w:r>
                </w:p>
              </w:tc>
              <w:tc>
                <w:tcPr>
                  <w:tcW w:w="677" w:type="pct"/>
                  <w:tcBorders>
                    <w:top w:val="single" w:color="auto" w:sz="12" w:space="0"/>
                  </w:tcBorders>
                  <w:vAlign w:val="center"/>
                </w:tcPr>
                <w:p w14:paraId="44FA0557">
                  <w:pPr>
                    <w:adjustRightInd w:val="0"/>
                    <w:snapToGrid w:val="0"/>
                    <w:spacing w:line="360" w:lineRule="exact"/>
                    <w:jc w:val="center"/>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报告书</w:t>
                  </w:r>
                </w:p>
              </w:tc>
              <w:tc>
                <w:tcPr>
                  <w:tcW w:w="1428" w:type="pct"/>
                  <w:tcBorders>
                    <w:top w:val="single" w:color="auto" w:sz="12" w:space="0"/>
                  </w:tcBorders>
                  <w:vAlign w:val="center"/>
                </w:tcPr>
                <w:p w14:paraId="09DFAEB5">
                  <w:pPr>
                    <w:adjustRightInd w:val="0"/>
                    <w:snapToGrid w:val="0"/>
                    <w:spacing w:line="360" w:lineRule="exact"/>
                    <w:jc w:val="center"/>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报告表</w:t>
                  </w:r>
                </w:p>
              </w:tc>
              <w:tc>
                <w:tcPr>
                  <w:tcW w:w="561" w:type="pct"/>
                  <w:tcBorders>
                    <w:top w:val="single" w:color="auto" w:sz="12" w:space="0"/>
                  </w:tcBorders>
                  <w:vAlign w:val="center"/>
                </w:tcPr>
                <w:p w14:paraId="7B05BE31">
                  <w:pPr>
                    <w:adjustRightInd w:val="0"/>
                    <w:snapToGrid w:val="0"/>
                    <w:spacing w:line="360" w:lineRule="exact"/>
                    <w:jc w:val="center"/>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登记表</w:t>
                  </w:r>
                </w:p>
              </w:tc>
              <w:tc>
                <w:tcPr>
                  <w:tcW w:w="846" w:type="pct"/>
                  <w:tcBorders>
                    <w:top w:val="single" w:color="auto" w:sz="12" w:space="0"/>
                    <w:right w:val="nil"/>
                  </w:tcBorders>
                  <w:vAlign w:val="center"/>
                </w:tcPr>
                <w:p w14:paraId="1CEBDCF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本栏目环境敏感区含义</w:t>
                  </w:r>
                </w:p>
              </w:tc>
            </w:tr>
            <w:tr w14:paraId="755730B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tcBorders>
                    <w:right w:val="nil"/>
                  </w:tcBorders>
                  <w:vAlign w:val="center"/>
                </w:tcPr>
                <w:p w14:paraId="2AAF5966">
                  <w:pPr>
                    <w:adjustRightInd w:val="0"/>
                    <w:snapToGrid w:val="0"/>
                    <w:spacing w:line="360" w:lineRule="exact"/>
                    <w:jc w:val="center"/>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二十七、非金属矿物制品业</w:t>
                  </w:r>
                </w:p>
              </w:tc>
            </w:tr>
            <w:tr w14:paraId="48602D21">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 w:type="pct"/>
                  <w:tcBorders>
                    <w:bottom w:val="single" w:color="auto" w:sz="12" w:space="0"/>
                  </w:tcBorders>
                  <w:vAlign w:val="center"/>
                </w:tcPr>
                <w:p w14:paraId="7F9913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55</w:t>
                  </w:r>
                </w:p>
              </w:tc>
              <w:tc>
                <w:tcPr>
                  <w:tcW w:w="1093" w:type="pct"/>
                  <w:tcBorders>
                    <w:bottom w:val="single" w:color="auto" w:sz="12" w:space="0"/>
                  </w:tcBorders>
                  <w:vAlign w:val="center"/>
                </w:tcPr>
                <w:p w14:paraId="044CB8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石膏、水泥制品及类似制品制造</w:t>
                  </w:r>
                </w:p>
              </w:tc>
              <w:tc>
                <w:tcPr>
                  <w:tcW w:w="677" w:type="pct"/>
                  <w:tcBorders>
                    <w:bottom w:val="single" w:color="auto" w:sz="12" w:space="0"/>
                  </w:tcBorders>
                  <w:vAlign w:val="center"/>
                </w:tcPr>
                <w:p w14:paraId="2F412F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1428" w:type="pct"/>
                  <w:tcBorders>
                    <w:bottom w:val="single" w:color="auto" w:sz="12" w:space="0"/>
                  </w:tcBorders>
                  <w:vAlign w:val="center"/>
                </w:tcPr>
                <w:p w14:paraId="54CCA8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商品混凝土；砼结构构件制造；水泥制品制造</w:t>
                  </w:r>
                </w:p>
              </w:tc>
              <w:tc>
                <w:tcPr>
                  <w:tcW w:w="561" w:type="pct"/>
                  <w:tcBorders>
                    <w:bottom w:val="single" w:color="auto" w:sz="12" w:space="0"/>
                  </w:tcBorders>
                  <w:vAlign w:val="center"/>
                </w:tcPr>
                <w:p w14:paraId="4A6805B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w:t>
                  </w:r>
                </w:p>
              </w:tc>
              <w:tc>
                <w:tcPr>
                  <w:tcW w:w="846" w:type="pct"/>
                  <w:tcBorders>
                    <w:bottom w:val="single" w:color="auto" w:sz="12" w:space="0"/>
                    <w:right w:val="nil"/>
                  </w:tcBorders>
                  <w:vAlign w:val="center"/>
                </w:tcPr>
                <w:p w14:paraId="75A46D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r>
          </w:tbl>
          <w:p w14:paraId="052506EA">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对照“5</w:t>
            </w:r>
            <w:r>
              <w:rPr>
                <w:rFonts w:ascii="Times New Roman" w:hAnsi="Times New Roman" w:eastAsia="宋体"/>
                <w:color w:val="000000" w:themeColor="text1"/>
                <w:sz w:val="24"/>
                <w:szCs w:val="24"/>
                <w:highlight w:val="none"/>
                <w14:textFill>
                  <w14:solidFill>
                    <w14:schemeClr w14:val="tx1"/>
                  </w14:solidFill>
                </w14:textFill>
              </w:rPr>
              <w:t xml:space="preserve">5 </w:t>
            </w:r>
            <w:r>
              <w:rPr>
                <w:rFonts w:ascii="Times New Roman" w:hAnsi="Times New Roman" w:eastAsia="宋体"/>
                <w:color w:val="000000" w:themeColor="text1"/>
                <w:sz w:val="24"/>
                <w:szCs w:val="24"/>
                <w:highlight w:val="none"/>
                <w:lang w:bidi="ar"/>
                <w14:textFill>
                  <w14:solidFill>
                    <w14:schemeClr w14:val="tx1"/>
                  </w14:solidFill>
                </w14:textFill>
              </w:rPr>
              <w:t>石膏、水泥制品及类似制品</w:t>
            </w:r>
            <w:r>
              <w:rPr>
                <w:rFonts w:hint="eastAsia" w:ascii="Times New Roman" w:hAnsi="Times New Roman" w:eastAsia="宋体"/>
                <w:color w:val="000000" w:themeColor="text1"/>
                <w:sz w:val="24"/>
                <w:szCs w:val="24"/>
                <w:highlight w:val="none"/>
                <w:lang w:bidi="ar"/>
                <w14:textFill>
                  <w14:solidFill>
                    <w14:schemeClr w14:val="tx1"/>
                  </w14:solidFill>
                </w14:textFill>
              </w:rPr>
              <w:t>制造</w:t>
            </w:r>
            <w:r>
              <w:rPr>
                <w:rFonts w:hint="eastAsia" w:ascii="Times New Roman" w:hAnsi="Times New Roman" w:eastAsia="宋体"/>
                <w:color w:val="000000" w:themeColor="text1"/>
                <w:sz w:val="24"/>
                <w:szCs w:val="24"/>
                <w:highlight w:val="none"/>
                <w14:textFill>
                  <w14:solidFill>
                    <w14:schemeClr w14:val="tx1"/>
                  </w14:solidFill>
                </w14:textFill>
              </w:rPr>
              <w:t>”，本项目为商品混凝土及砼结构构件制造，应编制环境影响报告表。</w:t>
            </w:r>
          </w:p>
          <w:p w14:paraId="46312171">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综上，本项目环境影响评价项目类别为报告表。</w:t>
            </w:r>
          </w:p>
          <w:p w14:paraId="2BD35082">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为此，</w:t>
            </w: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r>
              <w:rPr>
                <w:rFonts w:hint="eastAsia" w:ascii="Times New Roman" w:hAnsi="Times New Roman" w:eastAsia="宋体"/>
                <w:color w:val="000000" w:themeColor="text1"/>
                <w:sz w:val="24"/>
                <w:szCs w:val="24"/>
                <w:highlight w:val="none"/>
                <w14:textFill>
                  <w14:solidFill>
                    <w14:schemeClr w14:val="tx1"/>
                  </w14:solidFill>
                </w14:textFill>
              </w:rPr>
              <w:t>委托</w:t>
            </w:r>
            <w:r>
              <w:rPr>
                <w:rFonts w:hint="eastAsia" w:ascii="Times New Roman" w:hAnsi="Times New Roman" w:eastAsia="宋体"/>
                <w:color w:val="000000" w:themeColor="text1"/>
                <w:sz w:val="24"/>
                <w:szCs w:val="24"/>
                <w:highlight w:val="none"/>
                <w:lang w:eastAsia="zh-CN"/>
                <w14:textFill>
                  <w14:solidFill>
                    <w14:schemeClr w14:val="tx1"/>
                  </w14:solidFill>
                </w14:textFill>
              </w:rPr>
              <w:t>四川启创环保</w:t>
            </w:r>
            <w:r>
              <w:rPr>
                <w:rFonts w:hint="eastAsia" w:ascii="Times New Roman" w:hAnsi="Times New Roman" w:eastAsia="宋体"/>
                <w:color w:val="000000" w:themeColor="text1"/>
                <w:sz w:val="24"/>
                <w:szCs w:val="24"/>
                <w:highlight w:val="none"/>
                <w14:textFill>
                  <w14:solidFill>
                    <w14:schemeClr w14:val="tx1"/>
                  </w14:solidFill>
                </w14:textFill>
              </w:rPr>
              <w:t>科技有限公司（以下简称“我单位”）编制该项目环境影响报告表。我单位承担该项目的环境影响评价委托工作后，迅速进行了现场踏勘、调研，对建设工程进行了全面调查，在了解建设项目污染物排放特征和周围环境特点的基础上，按照环境影响技术导则、相关法律法规和技术规范，分析预测项目建设过程中以及投入运营后对周围环境的影响程度、影响范围以及环境质量可能发生的变化，编制完成项目环境影响报告表。</w:t>
            </w:r>
          </w:p>
          <w:p w14:paraId="1CA28709">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lang w:eastAsia="zh-CN"/>
                <w14:textFill>
                  <w14:solidFill>
                    <w14:schemeClr w14:val="tx1"/>
                  </w14:solidFill>
                </w14:textFill>
              </w:rPr>
              <w:t>二</w:t>
            </w:r>
            <w:r>
              <w:rPr>
                <w:rFonts w:hint="eastAsia" w:ascii="Times New Roman" w:hAnsi="Times New Roman" w:eastAsia="宋体"/>
                <w:b/>
                <w:color w:val="000000" w:themeColor="text1"/>
                <w:sz w:val="24"/>
                <w:szCs w:val="24"/>
                <w:highlight w:val="none"/>
                <w14:textFill>
                  <w14:solidFill>
                    <w14:schemeClr w14:val="tx1"/>
                  </w14:solidFill>
                </w14:textFill>
              </w:rPr>
              <w:t>、项目概况</w:t>
            </w:r>
          </w:p>
          <w:p w14:paraId="7FF7FEA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b/>
                <w:bCs/>
                <w:color w:val="000000" w:themeColor="text1"/>
                <w:sz w:val="24"/>
                <w:szCs w:val="24"/>
                <w:highlight w:val="none"/>
                <w:lang w:eastAsia="zh-CN"/>
                <w14:textFill>
                  <w14:solidFill>
                    <w14:schemeClr w14:val="tx1"/>
                  </w14:solidFill>
                </w14:textFill>
              </w:rPr>
            </w:pPr>
            <w:r>
              <w:rPr>
                <w:rFonts w:ascii="Times New Roman" w:hAnsi="Times New Roman" w:eastAsia="宋体"/>
                <w:b/>
                <w:bCs/>
                <w:color w:val="000000" w:themeColor="text1"/>
                <w:sz w:val="24"/>
                <w:szCs w:val="24"/>
                <w:highlight w:val="none"/>
                <w14:textFill>
                  <w14:solidFill>
                    <w14:schemeClr w14:val="tx1"/>
                  </w14:solidFill>
                </w14:textFill>
              </w:rPr>
              <w:t>项目名称：</w:t>
            </w:r>
            <w:r>
              <w:rPr>
                <w:rFonts w:hint="eastAsia" w:ascii="Times New Roman" w:hAnsi="Times New Roman" w:eastAsia="宋体"/>
                <w:color w:val="000000" w:themeColor="text1"/>
                <w:sz w:val="24"/>
                <w:szCs w:val="24"/>
                <w:highlight w:val="none"/>
                <w:lang w:eastAsia="zh-CN"/>
                <w14:textFill>
                  <w14:solidFill>
                    <w14:schemeClr w14:val="tx1"/>
                  </w14:solidFill>
                </w14:textFill>
              </w:rPr>
              <w:t>南充至成都高速公路扩容工程LJ5标段3#站</w:t>
            </w:r>
          </w:p>
          <w:p w14:paraId="4A5713A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b/>
                <w:bCs/>
                <w:color w:val="000000" w:themeColor="text1"/>
                <w:sz w:val="24"/>
                <w:szCs w:val="24"/>
                <w:highlight w:val="none"/>
                <w14:textFill>
                  <w14:solidFill>
                    <w14:schemeClr w14:val="tx1"/>
                  </w14:solidFill>
                </w14:textFill>
              </w:rPr>
              <w:t>建设单位：</w:t>
            </w: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p>
          <w:p w14:paraId="3B69DD4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建设性质：</w:t>
            </w:r>
            <w:r>
              <w:rPr>
                <w:rFonts w:hint="eastAsia" w:ascii="Times New Roman" w:hAnsi="Times New Roman" w:eastAsia="宋体"/>
                <w:color w:val="000000" w:themeColor="text1"/>
                <w:sz w:val="24"/>
                <w:szCs w:val="24"/>
                <w:highlight w:val="none"/>
                <w14:textFill>
                  <w14:solidFill>
                    <w14:schemeClr w14:val="tx1"/>
                  </w14:solidFill>
                </w14:textFill>
              </w:rPr>
              <w:t>新建（临时工程）</w:t>
            </w:r>
          </w:p>
          <w:p w14:paraId="71D171D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
                <w:bCs/>
                <w:color w:val="000000" w:themeColor="text1"/>
                <w:sz w:val="24"/>
                <w:szCs w:val="24"/>
                <w:highlight w:val="none"/>
                <w14:textFill>
                  <w14:solidFill>
                    <w14:schemeClr w14:val="tx1"/>
                  </w14:solidFill>
                </w14:textFill>
              </w:rPr>
              <w:t>建设地点：</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四川蓬溪经济开发区（火车站工业聚居区）莲花社区一社</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E</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105°41′38.180″，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30°41′18.106″</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3D94BA7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工程投资：</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1350</w:t>
            </w:r>
            <w:r>
              <w:rPr>
                <w:rFonts w:ascii="Times New Roman" w:hAnsi="Times New Roman" w:eastAsia="宋体"/>
                <w:color w:val="000000" w:themeColor="text1"/>
                <w:sz w:val="24"/>
                <w:szCs w:val="24"/>
                <w:highlight w:val="none"/>
                <w14:textFill>
                  <w14:solidFill>
                    <w14:schemeClr w14:val="tx1"/>
                  </w14:solidFill>
                </w14:textFill>
              </w:rPr>
              <w:t>万元</w:t>
            </w:r>
          </w:p>
          <w:p w14:paraId="7954302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14:textFill>
                  <w14:solidFill>
                    <w14:schemeClr w14:val="tx1"/>
                  </w14:solidFill>
                </w14:textFill>
              </w:rPr>
              <w:t>使用期限：</w:t>
            </w:r>
            <w:r>
              <w:rPr>
                <w:rFonts w:hint="eastAsia" w:ascii="Times New Roman" w:hAnsi="Times New Roman" w:eastAsia="宋体"/>
                <w:bCs/>
                <w:color w:val="000000" w:themeColor="text1"/>
                <w:sz w:val="24"/>
                <w:szCs w:val="24"/>
                <w:highlight w:val="none"/>
                <w14:textFill>
                  <w14:solidFill>
                    <w14:schemeClr w14:val="tx1"/>
                  </w14:solidFill>
                </w14:textFill>
              </w:rPr>
              <w:t>3年（2022年</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Cs/>
                <w:color w:val="000000" w:themeColor="text1"/>
                <w:sz w:val="24"/>
                <w:szCs w:val="24"/>
                <w:highlight w:val="none"/>
                <w14:textFill>
                  <w14:solidFill>
                    <w14:schemeClr w14:val="tx1"/>
                  </w14:solidFill>
                </w14:textFill>
              </w:rPr>
              <w:t>月~2025年</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9</w:t>
            </w:r>
            <w:r>
              <w:rPr>
                <w:rFonts w:hint="eastAsia" w:ascii="Times New Roman" w:hAnsi="Times New Roman" w:eastAsia="宋体"/>
                <w:bCs/>
                <w:color w:val="000000" w:themeColor="text1"/>
                <w:sz w:val="24"/>
                <w:szCs w:val="24"/>
                <w:highlight w:val="none"/>
                <w14:textFill>
                  <w14:solidFill>
                    <w14:schemeClr w14:val="tx1"/>
                  </w14:solidFill>
                </w14:textFill>
              </w:rPr>
              <w:t>月）</w:t>
            </w:r>
          </w:p>
          <w:p w14:paraId="5A42DF7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14:textFill>
                  <w14:solidFill>
                    <w14:schemeClr w14:val="tx1"/>
                  </w14:solidFill>
                </w14:textFill>
              </w:rPr>
              <w:t>劳动定员及工作制度：</w:t>
            </w:r>
            <w:r>
              <w:rPr>
                <w:rFonts w:hint="eastAsia" w:ascii="Times New Roman" w:hAnsi="Times New Roman" w:eastAsia="宋体"/>
                <w:bCs/>
                <w:color w:val="000000" w:themeColor="text1"/>
                <w:sz w:val="24"/>
                <w:szCs w:val="24"/>
                <w:highlight w:val="none"/>
                <w14:textFill>
                  <w14:solidFill>
                    <w14:schemeClr w14:val="tx1"/>
                  </w14:solidFill>
                </w14:textFill>
              </w:rPr>
              <w:t>劳动定员为</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160</w:t>
            </w:r>
            <w:r>
              <w:rPr>
                <w:rFonts w:hint="eastAsia" w:ascii="Times New Roman" w:hAnsi="Times New Roman" w:eastAsia="宋体"/>
                <w:bCs/>
                <w:color w:val="000000" w:themeColor="text1"/>
                <w:sz w:val="24"/>
                <w:szCs w:val="24"/>
                <w:highlight w:val="none"/>
                <w14:textFill>
                  <w14:solidFill>
                    <w14:schemeClr w14:val="tx1"/>
                  </w14:solidFill>
                </w14:textFill>
              </w:rPr>
              <w:t>人，其中管理人员</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10</w:t>
            </w:r>
            <w:r>
              <w:rPr>
                <w:rFonts w:hint="eastAsia" w:ascii="Times New Roman" w:hAnsi="Times New Roman" w:eastAsia="宋体"/>
                <w:bCs/>
                <w:color w:val="000000" w:themeColor="text1"/>
                <w:sz w:val="24"/>
                <w:szCs w:val="24"/>
                <w:highlight w:val="none"/>
                <w14:textFill>
                  <w14:solidFill>
                    <w14:schemeClr w14:val="tx1"/>
                  </w14:solidFill>
                </w14:textFill>
              </w:rPr>
              <w:t>人，</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工人</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15</w:t>
            </w:r>
            <w:r>
              <w:rPr>
                <w:rFonts w:hint="eastAsia" w:ascii="Times New Roman" w:hAnsi="Times New Roman" w:eastAsia="宋体"/>
                <w:bCs/>
                <w:color w:val="000000" w:themeColor="text1"/>
                <w:sz w:val="24"/>
                <w:szCs w:val="24"/>
                <w:highlight w:val="none"/>
                <w14:textFill>
                  <w14:solidFill>
                    <w14:schemeClr w14:val="tx1"/>
                  </w14:solidFill>
                </w14:textFill>
              </w:rPr>
              <w:t>0人；年工作350天，每天10小时。</w:t>
            </w:r>
          </w:p>
          <w:p w14:paraId="5051C5C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建设内容及规模：</w:t>
            </w:r>
            <w:r>
              <w:rPr>
                <w:rFonts w:hint="eastAsia" w:ascii="Times New Roman" w:hAnsi="Times New Roman" w:eastAsia="宋体"/>
                <w:bCs/>
                <w:color w:val="000000" w:themeColor="text1"/>
                <w:sz w:val="24"/>
                <w:szCs w:val="24"/>
                <w:highlight w:val="none"/>
                <w14:textFill>
                  <w14:solidFill>
                    <w14:schemeClr w14:val="tx1"/>
                  </w14:solidFill>
                </w14:textFill>
              </w:rPr>
              <w:t>本项目租用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四川蓬溪经济开发区（火车站工业聚居区）莲花社区一社</w:t>
            </w:r>
            <w:r>
              <w:rPr>
                <w:rFonts w:hint="eastAsia" w:ascii="Times New Roman" w:hAnsi="Times New Roman" w:eastAsia="宋体"/>
                <w:bCs/>
                <w:color w:val="000000" w:themeColor="text1"/>
                <w:sz w:val="24"/>
                <w:szCs w:val="24"/>
                <w:highlight w:val="none"/>
                <w14:textFill>
                  <w14:solidFill>
                    <w14:schemeClr w14:val="tx1"/>
                  </w14:solidFill>
                </w14:textFill>
              </w:rPr>
              <w:t>的</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工业用地</w:t>
            </w:r>
            <w:r>
              <w:rPr>
                <w:rFonts w:hint="default" w:ascii="Times New Roman" w:hAnsi="Times New Roman" w:eastAsia="宋体" w:cs="Times New Roman"/>
                <w:color w:val="000000" w:themeColor="text1"/>
                <w:sz w:val="24"/>
                <w:szCs w:val="24"/>
                <w:highlight w:val="none"/>
                <w14:textFill>
                  <w14:solidFill>
                    <w14:schemeClr w14:val="tx1"/>
                  </w14:solidFill>
                </w14:textFill>
              </w:rPr>
              <w:t>598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47</w:t>
            </w:r>
            <w:r>
              <w:rPr>
                <w:rFonts w:hint="eastAsia" w:ascii="Times New Roman" w:hAnsi="Times New Roman" w:eastAsia="宋体"/>
                <w:bCs/>
                <w:color w:val="000000" w:themeColor="text1"/>
                <w:sz w:val="24"/>
                <w:szCs w:val="24"/>
                <w:highlight w:val="none"/>
                <w14:textFill>
                  <w14:solidFill>
                    <w14:schemeClr w14:val="tx1"/>
                  </w14:solidFill>
                </w14:textFill>
              </w:rPr>
              <w:t>m</w:t>
            </w:r>
            <w:r>
              <w:rPr>
                <w:rFonts w:hint="eastAsia" w:ascii="Times New Roman" w:hAnsi="Times New Roman" w:eastAsia="宋体"/>
                <w:bCs/>
                <w:color w:val="000000" w:themeColor="text1"/>
                <w:sz w:val="24"/>
                <w:szCs w:val="24"/>
                <w:highlight w:val="none"/>
                <w:vertAlign w:val="superscript"/>
                <w14:textFill>
                  <w14:solidFill>
                    <w14:schemeClr w14:val="tx1"/>
                  </w14:solidFill>
                </w14:textFill>
              </w:rPr>
              <w:t>2</w:t>
            </w:r>
            <w:r>
              <w:rPr>
                <w:rFonts w:hint="eastAsia" w:ascii="Times New Roman" w:hAnsi="Times New Roman" w:eastAsia="宋体"/>
                <w:bCs/>
                <w:color w:val="000000" w:themeColor="text1"/>
                <w:sz w:val="24"/>
                <w:szCs w:val="24"/>
                <w:highlight w:val="none"/>
                <w14:textFill>
                  <w14:solidFill>
                    <w14:schemeClr w14:val="tx1"/>
                  </w14:solidFill>
                </w14:textFill>
              </w:rPr>
              <w:t>，建设</w:t>
            </w:r>
            <w:r>
              <w:rPr>
                <w:rFonts w:hint="eastAsia" w:ascii="Times New Roman" w:hAnsi="Times New Roman" w:eastAsia="宋体"/>
                <w:color w:val="000000" w:themeColor="text1"/>
                <w:sz w:val="24"/>
                <w:szCs w:val="24"/>
                <w:highlight w:val="none"/>
                <w14:textFill>
                  <w14:solidFill>
                    <w14:schemeClr w14:val="tx1"/>
                  </w14:solidFill>
                </w14:textFill>
              </w:rPr>
              <w:t>碎石加工场、水稳站、混凝土拌和站、预制梁场、钢筋加工场、办公生活区等</w:t>
            </w:r>
            <w:r>
              <w:rPr>
                <w:rFonts w:hint="eastAsia" w:ascii="Times New Roman" w:hAnsi="Times New Roman" w:eastAsia="宋体"/>
                <w:bCs/>
                <w:color w:val="000000" w:themeColor="text1"/>
                <w:sz w:val="24"/>
                <w:szCs w:val="24"/>
                <w:highlight w:val="none"/>
                <w14:textFill>
                  <w14:solidFill>
                    <w14:schemeClr w14:val="tx1"/>
                  </w14:solidFill>
                </w14:textFill>
              </w:rPr>
              <w:t>，同时配备相应的公用、辅助等设施，建成后达到</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生产</w:t>
            </w:r>
            <w:r>
              <w:rPr>
                <w:rFonts w:hint="default" w:ascii="Times New Roman" w:hAnsi="Times New Roman" w:eastAsia="宋体" w:cs="Times New Roman"/>
                <w:color w:val="000000" w:themeColor="text1"/>
                <w:sz w:val="24"/>
                <w:highlight w:val="none"/>
                <w14:textFill>
                  <w14:solidFill>
                    <w14:schemeClr w14:val="tx1"/>
                  </w14:solidFill>
                </w14:textFill>
              </w:rPr>
              <w:t>碎石</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.25</w:t>
            </w:r>
            <w:r>
              <w:rPr>
                <w:rFonts w:hint="default" w:ascii="Times New Roman" w:hAnsi="Times New Roman" w:eastAsia="宋体" w:cs="Times New Roman"/>
                <w:color w:val="000000" w:themeColor="text1"/>
                <w:sz w:val="24"/>
                <w:highlight w:val="none"/>
                <w14:textFill>
                  <w14:solidFill>
                    <w14:schemeClr w14:val="tx1"/>
                  </w14:solidFill>
                </w14:textFill>
              </w:rPr>
              <w:t>万</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m</w:t>
            </w:r>
            <w:r>
              <w:rPr>
                <w:rFonts w:hint="eastAsia" w:ascii="Times New Roman" w:hAnsi="Times New Roman" w:eastAsia="宋体" w:cs="Times New Roman"/>
                <w:color w:val="000000" w:themeColor="text1"/>
                <w:sz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水稳基层材料</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10.88</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万方/年</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混凝土</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highlight w:val="none"/>
                <w14:textFill>
                  <w14:solidFill>
                    <w14:schemeClr w14:val="tx1"/>
                  </w14:solidFill>
                </w14:textFill>
              </w:rPr>
              <w:t>万方</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，预制梁</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283</w:t>
            </w:r>
            <w:r>
              <w:rPr>
                <w:rFonts w:hint="default" w:ascii="Times New Roman" w:hAnsi="Times New Roman" w:eastAsia="宋体" w:cs="Times New Roman"/>
                <w:color w:val="000000" w:themeColor="text1"/>
                <w:sz w:val="24"/>
                <w:highlight w:val="none"/>
                <w14:textFill>
                  <w14:solidFill>
                    <w14:schemeClr w14:val="tx1"/>
                  </w14:solidFill>
                </w14:textFill>
              </w:rPr>
              <w:t>片</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default" w:ascii="Times New Roman" w:hAnsi="Times New Roman" w:eastAsia="宋体" w:cs="Times New Roman"/>
                <w:color w:val="000000" w:themeColor="text1"/>
                <w:sz w:val="24"/>
                <w:highlight w:val="none"/>
                <w14:textFill>
                  <w14:solidFill>
                    <w14:schemeClr w14:val="tx1"/>
                  </w14:solidFill>
                </w14:textFill>
              </w:rPr>
              <w:t>其他</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钢筋结构</w:t>
            </w:r>
            <w:r>
              <w:rPr>
                <w:rFonts w:hint="default" w:ascii="Times New Roman" w:hAnsi="Times New Roman" w:eastAsia="宋体" w:cs="Times New Roman"/>
                <w:color w:val="000000" w:themeColor="text1"/>
                <w:sz w:val="24"/>
                <w:highlight w:val="none"/>
                <w14:textFill>
                  <w14:solidFill>
                    <w14:schemeClr w14:val="tx1"/>
                  </w14:solidFill>
                </w14:textFill>
              </w:rPr>
              <w:t>件</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8100</w:t>
            </w:r>
            <w:r>
              <w:rPr>
                <w:rFonts w:hint="default" w:ascii="Times New Roman" w:hAnsi="Times New Roman" w:eastAsia="宋体" w:cs="Times New Roman"/>
                <w:color w:val="000000" w:themeColor="text1"/>
                <w:sz w:val="24"/>
                <w:highlight w:val="none"/>
                <w14:textFill>
                  <w14:solidFill>
                    <w14:schemeClr w14:val="tx1"/>
                  </w14:solidFill>
                </w14:textFill>
              </w:rPr>
              <w:t>吨</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/年</w:t>
            </w:r>
            <w:r>
              <w:rPr>
                <w:rFonts w:hint="eastAsia" w:ascii="Times New Roman" w:hAnsi="Times New Roman" w:eastAsia="宋体"/>
                <w:bCs/>
                <w:color w:val="000000" w:themeColor="text1"/>
                <w:sz w:val="24"/>
                <w:szCs w:val="24"/>
                <w:highlight w:val="none"/>
                <w14:textFill>
                  <w14:solidFill>
                    <w14:schemeClr w14:val="tx1"/>
                  </w14:solidFill>
                </w14:textFill>
              </w:rPr>
              <w:t>的生产能力。</w:t>
            </w:r>
          </w:p>
          <w:p w14:paraId="7C9C4450">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lang w:eastAsia="zh-CN"/>
                <w14:textFill>
                  <w14:solidFill>
                    <w14:schemeClr w14:val="tx1"/>
                  </w14:solidFill>
                </w14:textFill>
              </w:rPr>
              <w:t>三</w:t>
            </w:r>
            <w:r>
              <w:rPr>
                <w:rFonts w:hint="eastAsia" w:ascii="Times New Roman" w:hAnsi="Times New Roman" w:eastAsia="宋体"/>
                <w:b/>
                <w:color w:val="000000" w:themeColor="text1"/>
                <w:sz w:val="24"/>
                <w:szCs w:val="24"/>
                <w:highlight w:val="none"/>
                <w14:textFill>
                  <w14:solidFill>
                    <w14:schemeClr w14:val="tx1"/>
                  </w14:solidFill>
                </w14:textFill>
              </w:rPr>
              <w:t>、产品方案</w:t>
            </w:r>
          </w:p>
          <w:p w14:paraId="3B9EE57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项目主要产品为</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碎石、水稳基层材料、</w:t>
            </w:r>
            <w:r>
              <w:rPr>
                <w:rFonts w:hint="eastAsia" w:ascii="Times New Roman" w:hAnsi="Times New Roman" w:eastAsia="宋体"/>
                <w:bCs/>
                <w:color w:val="000000" w:themeColor="text1"/>
                <w:sz w:val="24"/>
                <w:szCs w:val="24"/>
                <w:highlight w:val="none"/>
                <w14:textFill>
                  <w14:solidFill>
                    <w14:schemeClr w14:val="tx1"/>
                  </w14:solidFill>
                </w14:textFill>
              </w:rPr>
              <w:t>混凝土</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、钢筋加工件</w:t>
            </w:r>
            <w:r>
              <w:rPr>
                <w:rFonts w:hint="eastAsia" w:ascii="Times New Roman" w:hAnsi="Times New Roman" w:eastAsia="宋体"/>
                <w:bCs/>
                <w:color w:val="000000" w:themeColor="text1"/>
                <w:sz w:val="24"/>
                <w:szCs w:val="24"/>
                <w:highlight w:val="none"/>
                <w14:textFill>
                  <w14:solidFill>
                    <w14:schemeClr w14:val="tx1"/>
                  </w14:solidFill>
                </w14:textFill>
              </w:rPr>
              <w:t>和预制件，产品方案如下：</w:t>
            </w:r>
          </w:p>
          <w:p w14:paraId="6058C8C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2-2    碎石加工</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449"/>
              <w:gridCol w:w="1502"/>
              <w:gridCol w:w="1406"/>
              <w:gridCol w:w="1200"/>
              <w:gridCol w:w="1575"/>
              <w:gridCol w:w="909"/>
            </w:tblGrid>
            <w:tr w14:paraId="0A3C3F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2726BB1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33" w:type="pct"/>
                  <w:vAlign w:val="center"/>
                </w:tcPr>
                <w:p w14:paraId="3434DBD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74" w:type="pct"/>
                  <w:vAlign w:val="center"/>
                </w:tcPr>
                <w:p w14:paraId="455BFB6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总</w:t>
                  </w: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p>
              </w:tc>
              <w:tc>
                <w:tcPr>
                  <w:tcW w:w="746" w:type="pct"/>
                  <w:vAlign w:val="center"/>
                </w:tcPr>
                <w:p w14:paraId="7318642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/年</w:t>
                  </w:r>
                </w:p>
              </w:tc>
              <w:tc>
                <w:tcPr>
                  <w:tcW w:w="979" w:type="pct"/>
                  <w:vAlign w:val="center"/>
                </w:tcPr>
                <w:p w14:paraId="76324B1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565" w:type="pct"/>
                  <w:vAlign w:val="center"/>
                </w:tcPr>
                <w:p w14:paraId="031BB2D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7B7DC5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65E5C07A">
                  <w:pPr>
                    <w:jc w:val="cente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水稳碎石原料</w:t>
                  </w:r>
                </w:p>
                <w:p w14:paraId="2F91408F">
                  <w:pPr>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＜37.5</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mm）</w:t>
                  </w:r>
                </w:p>
              </w:tc>
              <w:tc>
                <w:tcPr>
                  <w:tcW w:w="933" w:type="pct"/>
                  <w:vMerge w:val="restart"/>
                  <w:vAlign w:val="center"/>
                </w:tcPr>
                <w:p w14:paraId="2558601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K1811+145.02~K1823+100</w:t>
                  </w:r>
                </w:p>
              </w:tc>
              <w:tc>
                <w:tcPr>
                  <w:tcW w:w="874" w:type="pct"/>
                  <w:vAlign w:val="center"/>
                </w:tcPr>
                <w:p w14:paraId="5228E0B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42000</w:t>
                  </w:r>
                </w:p>
              </w:tc>
              <w:tc>
                <w:tcPr>
                  <w:tcW w:w="746" w:type="pct"/>
                  <w:vAlign w:val="center"/>
                </w:tcPr>
                <w:p w14:paraId="2490C068">
                  <w:pPr>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14000</w:t>
                  </w:r>
                </w:p>
              </w:tc>
              <w:tc>
                <w:tcPr>
                  <w:tcW w:w="979" w:type="pct"/>
                  <w:vMerge w:val="restart"/>
                  <w:vAlign w:val="center"/>
                </w:tcPr>
                <w:p w14:paraId="577D007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565" w:type="pct"/>
                  <w:vMerge w:val="restart"/>
                  <w:vAlign w:val="center"/>
                </w:tcPr>
                <w:p w14:paraId="289EA100">
                  <w:pPr>
                    <w:keepNext w:val="0"/>
                    <w:keepLines w:val="0"/>
                    <w:pageBreakBefore w:val="0"/>
                    <w:widowControl w:val="0"/>
                    <w:numPr>
                      <w:ilvl w:val="0"/>
                      <w:numId w:val="0"/>
                    </w:numPr>
                    <w:kinsoku/>
                    <w:wordWrap w:val="0"/>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53F00B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598B3D04">
                  <w:pPr>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三背回填材料</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＜50</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mm）</w:t>
                  </w:r>
                </w:p>
              </w:tc>
              <w:tc>
                <w:tcPr>
                  <w:tcW w:w="933" w:type="pct"/>
                  <w:vMerge w:val="continue"/>
                  <w:vAlign w:val="center"/>
                </w:tcPr>
                <w:p w14:paraId="4C98093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4AF497B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115500</w:t>
                  </w:r>
                </w:p>
              </w:tc>
              <w:tc>
                <w:tcPr>
                  <w:tcW w:w="746" w:type="pct"/>
                  <w:vAlign w:val="center"/>
                </w:tcPr>
                <w:p w14:paraId="5973FD5B">
                  <w:pPr>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38500</w:t>
                  </w:r>
                </w:p>
              </w:tc>
              <w:tc>
                <w:tcPr>
                  <w:tcW w:w="979" w:type="pct"/>
                  <w:vMerge w:val="continue"/>
                  <w:vAlign w:val="center"/>
                </w:tcPr>
                <w:p w14:paraId="5110DB8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65" w:type="pct"/>
                  <w:vMerge w:val="continue"/>
                  <w:vAlign w:val="center"/>
                </w:tcPr>
                <w:p w14:paraId="2269322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1E6022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34" w:type="pct"/>
                  <w:gridSpan w:val="2"/>
                  <w:vAlign w:val="center"/>
                </w:tcPr>
                <w:p w14:paraId="3CF4B9C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合计</w:t>
                  </w:r>
                </w:p>
              </w:tc>
              <w:tc>
                <w:tcPr>
                  <w:tcW w:w="874" w:type="pct"/>
                  <w:vAlign w:val="center"/>
                </w:tcPr>
                <w:p w14:paraId="43330E8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157500</w:t>
                  </w:r>
                </w:p>
              </w:tc>
              <w:tc>
                <w:tcPr>
                  <w:tcW w:w="746" w:type="pct"/>
                  <w:vAlign w:val="center"/>
                </w:tcPr>
                <w:p w14:paraId="241690D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52500</w:t>
                  </w:r>
                </w:p>
              </w:tc>
              <w:tc>
                <w:tcPr>
                  <w:tcW w:w="979" w:type="pct"/>
                  <w:vMerge w:val="continue"/>
                  <w:vAlign w:val="center"/>
                </w:tcPr>
                <w:p w14:paraId="22CB129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65" w:type="pct"/>
                  <w:vMerge w:val="continue"/>
                  <w:vAlign w:val="center"/>
                </w:tcPr>
                <w:p w14:paraId="0A60745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bl>
          <w:p w14:paraId="7A2DE0C8">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240" w:lineRule="auto"/>
              <w:jc w:val="center"/>
              <w:textAlignment w:val="auto"/>
              <w:rPr>
                <w:rFonts w:hint="default" w:ascii="Times New Roman" w:hAnsi="Times New Roman" w:eastAsia="宋体" w:cs="Times New Roman"/>
                <w:b/>
                <w:bCs/>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2-3    水稳基层材料</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449"/>
              <w:gridCol w:w="1502"/>
              <w:gridCol w:w="1406"/>
              <w:gridCol w:w="1200"/>
              <w:gridCol w:w="1575"/>
              <w:gridCol w:w="909"/>
            </w:tblGrid>
            <w:tr w14:paraId="24CDF1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14F5F99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33" w:type="pct"/>
                  <w:vAlign w:val="center"/>
                </w:tcPr>
                <w:p w14:paraId="2E0E192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74" w:type="pct"/>
                  <w:vAlign w:val="center"/>
                </w:tcPr>
                <w:p w14:paraId="425BD64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总</w:t>
                  </w: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p>
              </w:tc>
              <w:tc>
                <w:tcPr>
                  <w:tcW w:w="746" w:type="pct"/>
                  <w:vAlign w:val="center"/>
                </w:tcPr>
                <w:p w14:paraId="316703C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/年</w:t>
                  </w:r>
                </w:p>
              </w:tc>
              <w:tc>
                <w:tcPr>
                  <w:tcW w:w="979" w:type="pct"/>
                  <w:vAlign w:val="center"/>
                </w:tcPr>
                <w:p w14:paraId="31E9C1C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565" w:type="pct"/>
                  <w:vAlign w:val="center"/>
                </w:tcPr>
                <w:p w14:paraId="6539122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3F167E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613A6524">
                  <w:pPr>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水稳基层材料</w:t>
                  </w:r>
                </w:p>
              </w:tc>
              <w:tc>
                <w:tcPr>
                  <w:tcW w:w="933" w:type="pct"/>
                  <w:vAlign w:val="center"/>
                </w:tcPr>
                <w:p w14:paraId="183C875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K1811+145.02~K1823+100</w:t>
                  </w:r>
                </w:p>
              </w:tc>
              <w:tc>
                <w:tcPr>
                  <w:tcW w:w="874" w:type="pct"/>
                  <w:vAlign w:val="center"/>
                </w:tcPr>
                <w:p w14:paraId="1A74994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326400</w:t>
                  </w:r>
                </w:p>
              </w:tc>
              <w:tc>
                <w:tcPr>
                  <w:tcW w:w="746" w:type="pct"/>
                  <w:vAlign w:val="center"/>
                </w:tcPr>
                <w:p w14:paraId="52EE5A15">
                  <w:pPr>
                    <w:jc w:val="center"/>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108800</w:t>
                  </w:r>
                </w:p>
              </w:tc>
              <w:tc>
                <w:tcPr>
                  <w:tcW w:w="979" w:type="pct"/>
                  <w:vMerge w:val="restart"/>
                  <w:vAlign w:val="center"/>
                </w:tcPr>
                <w:p w14:paraId="27A2B26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565" w:type="pct"/>
                  <w:vMerge w:val="restart"/>
                  <w:vAlign w:val="center"/>
                </w:tcPr>
                <w:p w14:paraId="258C0372">
                  <w:pPr>
                    <w:keepNext w:val="0"/>
                    <w:keepLines w:val="0"/>
                    <w:pageBreakBefore w:val="0"/>
                    <w:widowControl w:val="0"/>
                    <w:numPr>
                      <w:ilvl w:val="0"/>
                      <w:numId w:val="0"/>
                    </w:numPr>
                    <w:kinsoku/>
                    <w:wordWrap w:val="0"/>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3A0B49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34" w:type="pct"/>
                  <w:gridSpan w:val="2"/>
                  <w:vAlign w:val="center"/>
                </w:tcPr>
                <w:p w14:paraId="07A6ECA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合计</w:t>
                  </w:r>
                </w:p>
              </w:tc>
              <w:tc>
                <w:tcPr>
                  <w:tcW w:w="874" w:type="pct"/>
                  <w:vAlign w:val="center"/>
                </w:tcPr>
                <w:p w14:paraId="455E991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326400</w:t>
                  </w:r>
                </w:p>
              </w:tc>
              <w:tc>
                <w:tcPr>
                  <w:tcW w:w="746" w:type="pct"/>
                  <w:vAlign w:val="center"/>
                </w:tcPr>
                <w:p w14:paraId="76F308C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108800</w:t>
                  </w:r>
                </w:p>
              </w:tc>
              <w:tc>
                <w:tcPr>
                  <w:tcW w:w="979" w:type="pct"/>
                  <w:vMerge w:val="continue"/>
                  <w:vAlign w:val="center"/>
                </w:tcPr>
                <w:p w14:paraId="3E0FF0B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65" w:type="pct"/>
                  <w:vMerge w:val="continue"/>
                  <w:vAlign w:val="center"/>
                </w:tcPr>
                <w:p w14:paraId="2124EF9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606495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000" w:type="pct"/>
                  <w:gridSpan w:val="6"/>
                  <w:vAlign w:val="center"/>
                </w:tcPr>
                <w:p w14:paraId="5E48EEE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产品配比（%）</w:t>
                  </w:r>
                </w:p>
              </w:tc>
            </w:tr>
            <w:tr w14:paraId="019609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34" w:type="pct"/>
                  <w:gridSpan w:val="2"/>
                  <w:vAlign w:val="center"/>
                </w:tcPr>
                <w:p w14:paraId="5191BF4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874" w:type="pct"/>
                  <w:vAlign w:val="center"/>
                </w:tcPr>
                <w:p w14:paraId="3DE9D1D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碎石</w:t>
                  </w:r>
                </w:p>
              </w:tc>
              <w:tc>
                <w:tcPr>
                  <w:tcW w:w="746" w:type="pct"/>
                  <w:vAlign w:val="center"/>
                </w:tcPr>
                <w:p w14:paraId="5B0FDBF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石粉</w:t>
                  </w:r>
                </w:p>
              </w:tc>
              <w:tc>
                <w:tcPr>
                  <w:tcW w:w="979" w:type="pct"/>
                  <w:vAlign w:val="center"/>
                </w:tcPr>
                <w:p w14:paraId="09EB0BB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水泥</w:t>
                  </w:r>
                </w:p>
              </w:tc>
              <w:tc>
                <w:tcPr>
                  <w:tcW w:w="565" w:type="pct"/>
                  <w:vAlign w:val="center"/>
                </w:tcPr>
                <w:p w14:paraId="4B35846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水</w:t>
                  </w:r>
                </w:p>
              </w:tc>
            </w:tr>
            <w:tr w14:paraId="282B9D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34" w:type="pct"/>
                  <w:gridSpan w:val="2"/>
                  <w:vAlign w:val="center"/>
                </w:tcPr>
                <w:p w14:paraId="3AECA17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水稳基层材料</w:t>
                  </w:r>
                </w:p>
              </w:tc>
              <w:tc>
                <w:tcPr>
                  <w:tcW w:w="874" w:type="pct"/>
                  <w:vAlign w:val="center"/>
                </w:tcPr>
                <w:p w14:paraId="16F99F4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63</w:t>
                  </w:r>
                </w:p>
              </w:tc>
              <w:tc>
                <w:tcPr>
                  <w:tcW w:w="746" w:type="pct"/>
                  <w:vAlign w:val="center"/>
                </w:tcPr>
                <w:p w14:paraId="4945F30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28</w:t>
                  </w:r>
                </w:p>
              </w:tc>
              <w:tc>
                <w:tcPr>
                  <w:tcW w:w="979" w:type="pct"/>
                  <w:vAlign w:val="center"/>
                </w:tcPr>
                <w:p w14:paraId="0F8BDC4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w:t>
                  </w:r>
                </w:p>
              </w:tc>
              <w:tc>
                <w:tcPr>
                  <w:tcW w:w="565" w:type="pct"/>
                  <w:vAlign w:val="center"/>
                </w:tcPr>
                <w:p w14:paraId="4413C0A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4</w:t>
                  </w:r>
                </w:p>
              </w:tc>
            </w:tr>
          </w:tbl>
          <w:p w14:paraId="75373A3C">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240" w:lineRule="auto"/>
              <w:jc w:val="center"/>
              <w:textAlignment w:val="auto"/>
              <w:rPr>
                <w:rFonts w:hint="default" w:ascii="Times New Roman" w:hAnsi="Times New Roman" w:eastAsia="宋体" w:cs="Times New Roman"/>
                <w:b/>
                <w:bCs/>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2-4    商品混凝土</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449"/>
              <w:gridCol w:w="1502"/>
              <w:gridCol w:w="1406"/>
              <w:gridCol w:w="1200"/>
              <w:gridCol w:w="1560"/>
              <w:gridCol w:w="924"/>
            </w:tblGrid>
            <w:tr w14:paraId="64AB28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21E8A0E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33" w:type="pct"/>
                  <w:vAlign w:val="center"/>
                </w:tcPr>
                <w:p w14:paraId="1B730A5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74" w:type="pct"/>
                  <w:vAlign w:val="center"/>
                </w:tcPr>
                <w:p w14:paraId="588A7CE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总</w:t>
                  </w: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p>
              </w:tc>
              <w:tc>
                <w:tcPr>
                  <w:tcW w:w="746" w:type="pct"/>
                  <w:vAlign w:val="center"/>
                </w:tcPr>
                <w:p w14:paraId="79AFC62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产能m</w:t>
                  </w:r>
                  <w:r>
                    <w:rPr>
                      <w:rFonts w:hint="eastAsia" w:ascii="Times New Roman" w:hAnsi="Times New Roman" w:eastAsia="宋体" w:cs="Times New Roman"/>
                      <w:b/>
                      <w:bCs/>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/年</w:t>
                  </w:r>
                </w:p>
              </w:tc>
              <w:tc>
                <w:tcPr>
                  <w:tcW w:w="970" w:type="pct"/>
                  <w:vAlign w:val="center"/>
                </w:tcPr>
                <w:p w14:paraId="6C78906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574" w:type="pct"/>
                  <w:vAlign w:val="center"/>
                </w:tcPr>
                <w:p w14:paraId="45CA6BD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46569C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5E50A92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C15</w:t>
                  </w:r>
                </w:p>
              </w:tc>
              <w:tc>
                <w:tcPr>
                  <w:tcW w:w="933" w:type="pct"/>
                  <w:vMerge w:val="restart"/>
                  <w:vAlign w:val="center"/>
                </w:tcPr>
                <w:p w14:paraId="4A09C9C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K1811+145.02~K1823+100</w:t>
                  </w:r>
                </w:p>
              </w:tc>
              <w:tc>
                <w:tcPr>
                  <w:tcW w:w="874" w:type="pct"/>
                  <w:vAlign w:val="center"/>
                </w:tcPr>
                <w:p w14:paraId="3E19E5A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64200</w:t>
                  </w:r>
                </w:p>
              </w:tc>
              <w:tc>
                <w:tcPr>
                  <w:tcW w:w="746" w:type="pct"/>
                  <w:vAlign w:val="center"/>
                </w:tcPr>
                <w:p w14:paraId="6D1FC6D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21400</w:t>
                  </w:r>
                </w:p>
              </w:tc>
              <w:tc>
                <w:tcPr>
                  <w:tcW w:w="970" w:type="pct"/>
                  <w:vMerge w:val="restart"/>
                  <w:vAlign w:val="center"/>
                </w:tcPr>
                <w:p w14:paraId="5A6084C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574" w:type="pct"/>
                  <w:vMerge w:val="restart"/>
                  <w:vAlign w:val="center"/>
                </w:tcPr>
                <w:p w14:paraId="752BDA3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其中约</w:t>
                  </w:r>
                  <w:r>
                    <w:rPr>
                      <w:rFonts w:hint="eastAsia" w:ascii="Times New Roman" w:hAnsi="Times New Roman" w:eastAsia="宋体"/>
                      <w:color w:val="000000" w:themeColor="text1"/>
                      <w:szCs w:val="21"/>
                      <w:highlight w:val="none"/>
                      <w:lang w:val="en-US" w:eastAsia="zh-CN"/>
                      <w14:textFill>
                        <w14:solidFill>
                          <w14:schemeClr w14:val="tx1"/>
                        </w14:solidFill>
                      </w14:textFill>
                    </w:rPr>
                    <w:t>9600m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szCs w:val="21"/>
                      <w:highlight w:val="none"/>
                      <w:lang w:val="en-US" w:eastAsia="zh-CN"/>
                      <w14:textFill>
                        <w14:solidFill>
                          <w14:schemeClr w14:val="tx1"/>
                        </w14:solidFill>
                      </w14:textFill>
                    </w:rPr>
                    <w:t>/a用于预制件生产，90400m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szCs w:val="21"/>
                      <w:highlight w:val="none"/>
                      <w:lang w:val="en-US" w:eastAsia="zh-CN"/>
                      <w14:textFill>
                        <w14:solidFill>
                          <w14:schemeClr w14:val="tx1"/>
                        </w14:solidFill>
                      </w14:textFill>
                    </w:rPr>
                    <w:t>/a用于成南高速主体工程施工</w:t>
                  </w:r>
                </w:p>
              </w:tc>
            </w:tr>
            <w:tr w14:paraId="3AC80A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42306E2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C20</w:t>
                  </w:r>
                </w:p>
              </w:tc>
              <w:tc>
                <w:tcPr>
                  <w:tcW w:w="933" w:type="pct"/>
                  <w:vMerge w:val="continue"/>
                  <w:vAlign w:val="center"/>
                </w:tcPr>
                <w:p w14:paraId="44E5C52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1D1D60A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58500</w:t>
                  </w:r>
                </w:p>
              </w:tc>
              <w:tc>
                <w:tcPr>
                  <w:tcW w:w="746" w:type="pct"/>
                  <w:vAlign w:val="center"/>
                </w:tcPr>
                <w:p w14:paraId="4A71B22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19500</w:t>
                  </w:r>
                </w:p>
              </w:tc>
              <w:tc>
                <w:tcPr>
                  <w:tcW w:w="970" w:type="pct"/>
                  <w:vMerge w:val="continue"/>
                  <w:vAlign w:val="center"/>
                </w:tcPr>
                <w:p w14:paraId="07FFEBE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37D5B9F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6C9DDC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12CC797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C25</w:t>
                  </w:r>
                </w:p>
              </w:tc>
              <w:tc>
                <w:tcPr>
                  <w:tcW w:w="933" w:type="pct"/>
                  <w:vMerge w:val="continue"/>
                  <w:vAlign w:val="center"/>
                </w:tcPr>
                <w:p w14:paraId="4CE6457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60B978D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41400</w:t>
                  </w:r>
                </w:p>
              </w:tc>
              <w:tc>
                <w:tcPr>
                  <w:tcW w:w="746" w:type="pct"/>
                  <w:vAlign w:val="center"/>
                </w:tcPr>
                <w:p w14:paraId="38DBA41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13800</w:t>
                  </w:r>
                </w:p>
              </w:tc>
              <w:tc>
                <w:tcPr>
                  <w:tcW w:w="970" w:type="pct"/>
                  <w:vMerge w:val="continue"/>
                  <w:vAlign w:val="center"/>
                </w:tcPr>
                <w:p w14:paraId="35BC5F7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4CD68E2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58A0A1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136A8FB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C30</w:t>
                  </w:r>
                </w:p>
              </w:tc>
              <w:tc>
                <w:tcPr>
                  <w:tcW w:w="933" w:type="pct"/>
                  <w:vMerge w:val="continue"/>
                  <w:vAlign w:val="center"/>
                </w:tcPr>
                <w:p w14:paraId="055A7A5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40716D9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69150</w:t>
                  </w:r>
                </w:p>
              </w:tc>
              <w:tc>
                <w:tcPr>
                  <w:tcW w:w="746" w:type="pct"/>
                  <w:vAlign w:val="center"/>
                </w:tcPr>
                <w:p w14:paraId="016DF9E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23050</w:t>
                  </w:r>
                </w:p>
              </w:tc>
              <w:tc>
                <w:tcPr>
                  <w:tcW w:w="970" w:type="pct"/>
                  <w:vMerge w:val="continue"/>
                  <w:vAlign w:val="center"/>
                </w:tcPr>
                <w:p w14:paraId="71A7B90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382FA14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66ABA6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3B2B737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C35</w:t>
                  </w:r>
                </w:p>
              </w:tc>
              <w:tc>
                <w:tcPr>
                  <w:tcW w:w="933" w:type="pct"/>
                  <w:vMerge w:val="continue"/>
                  <w:vAlign w:val="center"/>
                </w:tcPr>
                <w:p w14:paraId="489A267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32F6A5E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19200</w:t>
                  </w:r>
                </w:p>
              </w:tc>
              <w:tc>
                <w:tcPr>
                  <w:tcW w:w="746" w:type="pct"/>
                  <w:vAlign w:val="center"/>
                </w:tcPr>
                <w:p w14:paraId="38A57CA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6400</w:t>
                  </w:r>
                </w:p>
              </w:tc>
              <w:tc>
                <w:tcPr>
                  <w:tcW w:w="970" w:type="pct"/>
                  <w:vMerge w:val="continue"/>
                  <w:vAlign w:val="center"/>
                </w:tcPr>
                <w:p w14:paraId="561A383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6635F47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58586F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1329525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C40</w:t>
                  </w:r>
                </w:p>
              </w:tc>
              <w:tc>
                <w:tcPr>
                  <w:tcW w:w="933" w:type="pct"/>
                  <w:vMerge w:val="continue"/>
                  <w:vAlign w:val="center"/>
                </w:tcPr>
                <w:p w14:paraId="748A33D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434A3EC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9060</w:t>
                  </w:r>
                </w:p>
              </w:tc>
              <w:tc>
                <w:tcPr>
                  <w:tcW w:w="746" w:type="pct"/>
                  <w:vAlign w:val="center"/>
                </w:tcPr>
                <w:p w14:paraId="75741CB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3020</w:t>
                  </w:r>
                </w:p>
              </w:tc>
              <w:tc>
                <w:tcPr>
                  <w:tcW w:w="970" w:type="pct"/>
                  <w:vMerge w:val="continue"/>
                  <w:vAlign w:val="center"/>
                </w:tcPr>
                <w:p w14:paraId="22AAF49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454D797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34C0FC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7703547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C50</w:t>
                  </w:r>
                </w:p>
              </w:tc>
              <w:tc>
                <w:tcPr>
                  <w:tcW w:w="933" w:type="pct"/>
                  <w:vMerge w:val="continue"/>
                  <w:vAlign w:val="center"/>
                </w:tcPr>
                <w:p w14:paraId="63ED0CE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5594AD7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38400</w:t>
                  </w:r>
                </w:p>
              </w:tc>
              <w:tc>
                <w:tcPr>
                  <w:tcW w:w="746" w:type="pct"/>
                  <w:vAlign w:val="center"/>
                </w:tcPr>
                <w:p w14:paraId="73D2EE1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12800</w:t>
                  </w:r>
                </w:p>
              </w:tc>
              <w:tc>
                <w:tcPr>
                  <w:tcW w:w="970" w:type="pct"/>
                  <w:vMerge w:val="continue"/>
                  <w:vAlign w:val="center"/>
                </w:tcPr>
                <w:p w14:paraId="4F95CBB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7F0B52D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165FEE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01" w:type="pct"/>
                  <w:vAlign w:val="center"/>
                </w:tcPr>
                <w:p w14:paraId="26C2B4D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C55</w:t>
                  </w:r>
                </w:p>
              </w:tc>
              <w:tc>
                <w:tcPr>
                  <w:tcW w:w="933" w:type="pct"/>
                  <w:vMerge w:val="continue"/>
                  <w:vAlign w:val="center"/>
                </w:tcPr>
                <w:p w14:paraId="66FB045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874" w:type="pct"/>
                  <w:vAlign w:val="center"/>
                </w:tcPr>
                <w:p w14:paraId="2BE7342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90</w:t>
                  </w:r>
                </w:p>
              </w:tc>
              <w:tc>
                <w:tcPr>
                  <w:tcW w:w="746" w:type="pct"/>
                  <w:vAlign w:val="center"/>
                </w:tcPr>
                <w:p w14:paraId="6125AD4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30</w:t>
                  </w:r>
                </w:p>
              </w:tc>
              <w:tc>
                <w:tcPr>
                  <w:tcW w:w="970" w:type="pct"/>
                  <w:vMerge w:val="continue"/>
                  <w:vAlign w:val="center"/>
                </w:tcPr>
                <w:p w14:paraId="0A89D48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07311C7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r w14:paraId="7C3AAE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34" w:type="pct"/>
                  <w:gridSpan w:val="2"/>
                  <w:vAlign w:val="center"/>
                </w:tcPr>
                <w:p w14:paraId="6123F9F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合计</w:t>
                  </w:r>
                </w:p>
              </w:tc>
              <w:tc>
                <w:tcPr>
                  <w:tcW w:w="874" w:type="pct"/>
                  <w:vAlign w:val="center"/>
                </w:tcPr>
                <w:p w14:paraId="4D9C894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300000</w:t>
                  </w:r>
                </w:p>
              </w:tc>
              <w:tc>
                <w:tcPr>
                  <w:tcW w:w="746" w:type="pct"/>
                  <w:vAlign w:val="center"/>
                </w:tcPr>
                <w:p w14:paraId="76C2972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100000</w:t>
                  </w:r>
                </w:p>
              </w:tc>
              <w:tc>
                <w:tcPr>
                  <w:tcW w:w="970" w:type="pct"/>
                  <w:vMerge w:val="continue"/>
                  <w:vAlign w:val="center"/>
                </w:tcPr>
                <w:p w14:paraId="063D24D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c>
                <w:tcPr>
                  <w:tcW w:w="574" w:type="pct"/>
                  <w:vMerge w:val="continue"/>
                  <w:vAlign w:val="center"/>
                </w:tcPr>
                <w:p w14:paraId="2AF8883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p>
              </w:tc>
            </w:tr>
          </w:tbl>
          <w:p w14:paraId="744C92FE">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2-5    钢筋结构件</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495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462"/>
              <w:gridCol w:w="1485"/>
              <w:gridCol w:w="1410"/>
              <w:gridCol w:w="1215"/>
              <w:gridCol w:w="1218"/>
              <w:gridCol w:w="1183"/>
            </w:tblGrid>
            <w:tr w14:paraId="099CFC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6" w:type="pct"/>
                  <w:vAlign w:val="center"/>
                </w:tcPr>
                <w:p w14:paraId="4A5BFE1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31" w:type="pct"/>
                  <w:vAlign w:val="center"/>
                </w:tcPr>
                <w:p w14:paraId="00D4008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84" w:type="pct"/>
                  <w:vAlign w:val="center"/>
                </w:tcPr>
                <w:p w14:paraId="5BC3C12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t</w:t>
                  </w:r>
                </w:p>
              </w:tc>
              <w:tc>
                <w:tcPr>
                  <w:tcW w:w="761" w:type="pct"/>
                  <w:vAlign w:val="center"/>
                </w:tcPr>
                <w:p w14:paraId="3918C31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产能t/年</w:t>
                  </w:r>
                </w:p>
              </w:tc>
              <w:tc>
                <w:tcPr>
                  <w:tcW w:w="763" w:type="pct"/>
                  <w:vAlign w:val="center"/>
                </w:tcPr>
                <w:p w14:paraId="7087F88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741" w:type="pct"/>
                  <w:vAlign w:val="center"/>
                </w:tcPr>
                <w:p w14:paraId="707363E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5D0ACF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6" w:type="pct"/>
                  <w:vAlign w:val="center"/>
                </w:tcPr>
                <w:p w14:paraId="62DFF1B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HPB300钢筋</w:t>
                  </w:r>
                </w:p>
              </w:tc>
              <w:tc>
                <w:tcPr>
                  <w:tcW w:w="931" w:type="pct"/>
                  <w:vMerge w:val="restart"/>
                  <w:vAlign w:val="center"/>
                </w:tcPr>
                <w:p w14:paraId="672C0F6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K1811+145.02~K1823+100</w:t>
                  </w:r>
                </w:p>
              </w:tc>
              <w:tc>
                <w:tcPr>
                  <w:tcW w:w="884" w:type="pct"/>
                  <w:vAlign w:val="center"/>
                </w:tcPr>
                <w:p w14:paraId="5032C9E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3300</w:t>
                  </w:r>
                </w:p>
              </w:tc>
              <w:tc>
                <w:tcPr>
                  <w:tcW w:w="761" w:type="pct"/>
                  <w:vAlign w:val="center"/>
                </w:tcPr>
                <w:p w14:paraId="41567CB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1100</w:t>
                  </w:r>
                </w:p>
              </w:tc>
              <w:tc>
                <w:tcPr>
                  <w:tcW w:w="763" w:type="pct"/>
                  <w:vMerge w:val="restart"/>
                  <w:vAlign w:val="center"/>
                </w:tcPr>
                <w:p w14:paraId="32519C4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741" w:type="pct"/>
                  <w:vMerge w:val="restart"/>
                  <w:vAlign w:val="center"/>
                </w:tcPr>
                <w:p w14:paraId="0E6A1DC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其中约</w:t>
                  </w:r>
                  <w:r>
                    <w:rPr>
                      <w:rFonts w:hint="eastAsia" w:ascii="Times New Roman" w:hAnsi="Times New Roman" w:eastAsia="宋体"/>
                      <w:color w:val="000000" w:themeColor="text1"/>
                      <w:szCs w:val="21"/>
                      <w:highlight w:val="none"/>
                      <w:lang w:val="en-US" w:eastAsia="zh-CN"/>
                      <w14:textFill>
                        <w14:solidFill>
                          <w14:schemeClr w14:val="tx1"/>
                        </w14:solidFill>
                      </w14:textFill>
                    </w:rPr>
                    <w:t>2880t/a用于预制件生产，5220t/a用于成南高速主体工程施工</w:t>
                  </w:r>
                </w:p>
              </w:tc>
            </w:tr>
            <w:tr w14:paraId="5D5AD6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6" w:type="pct"/>
                  <w:vAlign w:val="center"/>
                </w:tcPr>
                <w:p w14:paraId="4BF57B6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H</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R</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B</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00钢筋</w:t>
                  </w:r>
                </w:p>
              </w:tc>
              <w:tc>
                <w:tcPr>
                  <w:tcW w:w="931" w:type="pct"/>
                  <w:vMerge w:val="continue"/>
                  <w:vAlign w:val="center"/>
                </w:tcPr>
                <w:p w14:paraId="02C3394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884" w:type="pct"/>
                  <w:vAlign w:val="center"/>
                </w:tcPr>
                <w:p w14:paraId="6C65D58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21000</w:t>
                  </w:r>
                </w:p>
              </w:tc>
              <w:tc>
                <w:tcPr>
                  <w:tcW w:w="761" w:type="pct"/>
                  <w:vAlign w:val="center"/>
                </w:tcPr>
                <w:p w14:paraId="0CDD880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7000</w:t>
                  </w:r>
                </w:p>
              </w:tc>
              <w:tc>
                <w:tcPr>
                  <w:tcW w:w="763" w:type="pct"/>
                  <w:vMerge w:val="continue"/>
                  <w:vAlign w:val="center"/>
                </w:tcPr>
                <w:p w14:paraId="798C4F7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41" w:type="pct"/>
                  <w:vMerge w:val="continue"/>
                  <w:vAlign w:val="center"/>
                </w:tcPr>
                <w:p w14:paraId="70B7AA8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r>
            <w:tr w14:paraId="3892FD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48" w:type="pct"/>
                  <w:gridSpan w:val="2"/>
                  <w:vAlign w:val="center"/>
                </w:tcPr>
                <w:p w14:paraId="599F55C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合计</w:t>
                  </w:r>
                </w:p>
              </w:tc>
              <w:tc>
                <w:tcPr>
                  <w:tcW w:w="884" w:type="pct"/>
                  <w:vAlign w:val="center"/>
                </w:tcPr>
                <w:p w14:paraId="5C82AD0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24300</w:t>
                  </w:r>
                </w:p>
              </w:tc>
              <w:tc>
                <w:tcPr>
                  <w:tcW w:w="761" w:type="pct"/>
                  <w:vAlign w:val="center"/>
                </w:tcPr>
                <w:p w14:paraId="421330B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8100</w:t>
                  </w:r>
                </w:p>
              </w:tc>
              <w:tc>
                <w:tcPr>
                  <w:tcW w:w="763" w:type="pct"/>
                  <w:vMerge w:val="continue"/>
                  <w:vAlign w:val="center"/>
                </w:tcPr>
                <w:p w14:paraId="2D953DA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41" w:type="pct"/>
                  <w:vMerge w:val="continue"/>
                  <w:vAlign w:val="center"/>
                </w:tcPr>
                <w:p w14:paraId="4C46534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r>
          </w:tbl>
          <w:p w14:paraId="079194CA">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2-6    预制件</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00"/>
              <w:gridCol w:w="664"/>
              <w:gridCol w:w="1472"/>
              <w:gridCol w:w="1421"/>
              <w:gridCol w:w="1215"/>
              <w:gridCol w:w="1218"/>
              <w:gridCol w:w="1251"/>
            </w:tblGrid>
            <w:tr w14:paraId="514D7C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0" w:type="pct"/>
                  <w:gridSpan w:val="2"/>
                  <w:vAlign w:val="center"/>
                </w:tcPr>
                <w:p w14:paraId="426311D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产品种类</w:t>
                  </w:r>
                </w:p>
              </w:tc>
              <w:tc>
                <w:tcPr>
                  <w:tcW w:w="915" w:type="pct"/>
                  <w:vAlign w:val="center"/>
                </w:tcPr>
                <w:p w14:paraId="7276EA1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供应段落</w:t>
                  </w:r>
                </w:p>
              </w:tc>
              <w:tc>
                <w:tcPr>
                  <w:tcW w:w="883" w:type="pct"/>
                  <w:vAlign w:val="center"/>
                </w:tcPr>
                <w:p w14:paraId="2CC206B2">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供应数量</w:t>
                  </w:r>
                </w:p>
              </w:tc>
              <w:tc>
                <w:tcPr>
                  <w:tcW w:w="755" w:type="pct"/>
                  <w:vAlign w:val="center"/>
                </w:tcPr>
                <w:p w14:paraId="2DA82C3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产能片/年</w:t>
                  </w:r>
                </w:p>
              </w:tc>
              <w:tc>
                <w:tcPr>
                  <w:tcW w:w="757" w:type="pct"/>
                  <w:vAlign w:val="center"/>
                </w:tcPr>
                <w:p w14:paraId="50A590F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用途</w:t>
                  </w:r>
                </w:p>
              </w:tc>
              <w:tc>
                <w:tcPr>
                  <w:tcW w:w="777" w:type="pct"/>
                  <w:vAlign w:val="center"/>
                </w:tcPr>
                <w:p w14:paraId="57E2EA5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备注</w:t>
                  </w:r>
                </w:p>
              </w:tc>
            </w:tr>
            <w:tr w14:paraId="05F89B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97" w:type="pct"/>
                  <w:vMerge w:val="restart"/>
                  <w:vAlign w:val="center"/>
                </w:tcPr>
                <w:p w14:paraId="14F58AC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T梁</w:t>
                  </w:r>
                </w:p>
              </w:tc>
              <w:tc>
                <w:tcPr>
                  <w:tcW w:w="412" w:type="pct"/>
                  <w:vAlign w:val="center"/>
                </w:tcPr>
                <w:p w14:paraId="3A18476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30m</w:t>
                  </w:r>
                </w:p>
              </w:tc>
              <w:tc>
                <w:tcPr>
                  <w:tcW w:w="915" w:type="pct"/>
                  <w:vMerge w:val="restart"/>
                  <w:vAlign w:val="center"/>
                </w:tcPr>
                <w:p w14:paraId="6146361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K1811+145.02~K1823+100</w:t>
                  </w:r>
                </w:p>
              </w:tc>
              <w:tc>
                <w:tcPr>
                  <w:tcW w:w="883" w:type="pct"/>
                  <w:vMerge w:val="restart"/>
                  <w:vAlign w:val="center"/>
                </w:tcPr>
                <w:p w14:paraId="4D7DEBD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831</w:t>
                  </w:r>
                </w:p>
              </w:tc>
              <w:tc>
                <w:tcPr>
                  <w:tcW w:w="755" w:type="pct"/>
                  <w:vAlign w:val="center"/>
                </w:tcPr>
                <w:p w14:paraId="115D3E69">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259</w:t>
                  </w:r>
                </w:p>
              </w:tc>
              <w:tc>
                <w:tcPr>
                  <w:tcW w:w="757" w:type="pct"/>
                  <w:vMerge w:val="restart"/>
                  <w:vAlign w:val="center"/>
                </w:tcPr>
                <w:p w14:paraId="27C1CEB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仅用于南充至成都高速公路扩容工程土建施工LJ</w:t>
                  </w:r>
                  <w:r>
                    <w:rPr>
                      <w:rFonts w:hint="eastAsia" w:ascii="Times New Roman" w:hAnsi="Times New Roman" w:eastAsia="宋体"/>
                      <w:color w:val="000000" w:themeColor="text1"/>
                      <w:szCs w:val="21"/>
                      <w:highlight w:val="none"/>
                      <w:lang w:val="en-US" w:eastAsia="zh-CN"/>
                      <w14:textFill>
                        <w14:solidFill>
                          <w14:schemeClr w14:val="tx1"/>
                        </w14:solidFill>
                      </w14:textFill>
                    </w:rPr>
                    <w:t>5</w:t>
                  </w:r>
                  <w:r>
                    <w:rPr>
                      <w:rFonts w:hint="eastAsia" w:ascii="Times New Roman" w:hAnsi="Times New Roman" w:eastAsia="宋体"/>
                      <w:color w:val="000000" w:themeColor="text1"/>
                      <w:szCs w:val="21"/>
                      <w:highlight w:val="none"/>
                      <w14:textFill>
                        <w14:solidFill>
                          <w14:schemeClr w14:val="tx1"/>
                        </w14:solidFill>
                      </w14:textFill>
                    </w:rPr>
                    <w:t>标段，不外售</w:t>
                  </w:r>
                </w:p>
              </w:tc>
              <w:tc>
                <w:tcPr>
                  <w:tcW w:w="777" w:type="pct"/>
                  <w:vAlign w:val="center"/>
                </w:tcPr>
                <w:p w14:paraId="0ABD70B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重约80t</w:t>
                  </w:r>
                </w:p>
              </w:tc>
            </w:tr>
            <w:tr w14:paraId="37B56C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97" w:type="pct"/>
                  <w:vMerge w:val="continue"/>
                  <w:vAlign w:val="center"/>
                </w:tcPr>
                <w:p w14:paraId="26D695D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412" w:type="pct"/>
                  <w:vAlign w:val="center"/>
                </w:tcPr>
                <w:p w14:paraId="16FDF2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40m</w:t>
                  </w:r>
                </w:p>
              </w:tc>
              <w:tc>
                <w:tcPr>
                  <w:tcW w:w="915" w:type="pct"/>
                  <w:vMerge w:val="continue"/>
                  <w:vAlign w:val="center"/>
                </w:tcPr>
                <w:p w14:paraId="119756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883" w:type="pct"/>
                  <w:vMerge w:val="continue"/>
                  <w:vAlign w:val="center"/>
                </w:tcPr>
                <w:p w14:paraId="223F37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000000" w:themeColor="text1"/>
                      <w:highlight w:val="none"/>
                      <w14:textFill>
                        <w14:solidFill>
                          <w14:schemeClr w14:val="tx1"/>
                        </w14:solidFill>
                      </w14:textFill>
                    </w:rPr>
                  </w:pPr>
                </w:p>
              </w:tc>
              <w:tc>
                <w:tcPr>
                  <w:tcW w:w="755" w:type="pct"/>
                  <w:vAlign w:val="center"/>
                </w:tcPr>
                <w:p w14:paraId="3A647E9E">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18</w:t>
                  </w:r>
                </w:p>
              </w:tc>
              <w:tc>
                <w:tcPr>
                  <w:tcW w:w="757" w:type="pct"/>
                  <w:vMerge w:val="continue"/>
                  <w:vAlign w:val="center"/>
                </w:tcPr>
                <w:p w14:paraId="1FD040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p>
              </w:tc>
              <w:tc>
                <w:tcPr>
                  <w:tcW w:w="777" w:type="pct"/>
                  <w:vAlign w:val="center"/>
                </w:tcPr>
                <w:p w14:paraId="600A449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重约120t</w:t>
                  </w:r>
                </w:p>
              </w:tc>
            </w:tr>
            <w:tr w14:paraId="36631A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0" w:type="pct"/>
                  <w:gridSpan w:val="2"/>
                  <w:vAlign w:val="center"/>
                </w:tcPr>
                <w:p w14:paraId="17F93A3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箱梁</w:t>
                  </w:r>
                </w:p>
              </w:tc>
              <w:tc>
                <w:tcPr>
                  <w:tcW w:w="915" w:type="pct"/>
                  <w:vMerge w:val="continue"/>
                  <w:vAlign w:val="center"/>
                </w:tcPr>
                <w:p w14:paraId="7130FFB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883" w:type="pct"/>
                  <w:vAlign w:val="center"/>
                </w:tcPr>
                <w:p w14:paraId="115B95C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18</w:t>
                  </w:r>
                </w:p>
              </w:tc>
              <w:tc>
                <w:tcPr>
                  <w:tcW w:w="755" w:type="pct"/>
                  <w:vAlign w:val="center"/>
                </w:tcPr>
                <w:p w14:paraId="420B6CD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6</w:t>
                  </w:r>
                </w:p>
              </w:tc>
              <w:tc>
                <w:tcPr>
                  <w:tcW w:w="757" w:type="pct"/>
                  <w:vMerge w:val="continue"/>
                  <w:vAlign w:val="center"/>
                </w:tcPr>
                <w:p w14:paraId="53763A1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p>
              </w:tc>
              <w:tc>
                <w:tcPr>
                  <w:tcW w:w="777" w:type="pct"/>
                  <w:vAlign w:val="center"/>
                </w:tcPr>
                <w:p w14:paraId="53075BF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重约180t</w:t>
                  </w:r>
                </w:p>
              </w:tc>
            </w:tr>
            <w:tr w14:paraId="6EDC77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1825" w:type="pct"/>
                  <w:gridSpan w:val="3"/>
                  <w:vAlign w:val="center"/>
                </w:tcPr>
                <w:p w14:paraId="01124A7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合计</w:t>
                  </w:r>
                </w:p>
              </w:tc>
              <w:tc>
                <w:tcPr>
                  <w:tcW w:w="883" w:type="pct"/>
                  <w:vAlign w:val="center"/>
                </w:tcPr>
                <w:p w14:paraId="4507FC5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849</w:t>
                  </w:r>
                </w:p>
              </w:tc>
              <w:tc>
                <w:tcPr>
                  <w:tcW w:w="755" w:type="pct"/>
                  <w:vAlign w:val="center"/>
                </w:tcPr>
                <w:p w14:paraId="1DA16CD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283</w:t>
                  </w:r>
                </w:p>
              </w:tc>
              <w:tc>
                <w:tcPr>
                  <w:tcW w:w="757" w:type="pct"/>
                  <w:vMerge w:val="continue"/>
                  <w:vAlign w:val="center"/>
                </w:tcPr>
                <w:p w14:paraId="3EBCE46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color w:val="000000" w:themeColor="text1"/>
                      <w:kern w:val="2"/>
                      <w:sz w:val="21"/>
                      <w:szCs w:val="21"/>
                      <w:highlight w:val="none"/>
                      <w:vertAlign w:val="baseline"/>
                      <w:lang w:val="en-US" w:eastAsia="zh-CN" w:bidi="ar-SA"/>
                      <w14:textFill>
                        <w14:solidFill>
                          <w14:schemeClr w14:val="tx1"/>
                        </w14:solidFill>
                      </w14:textFill>
                    </w:rPr>
                  </w:pPr>
                </w:p>
              </w:tc>
              <w:tc>
                <w:tcPr>
                  <w:tcW w:w="777" w:type="pct"/>
                  <w:vAlign w:val="center"/>
                </w:tcPr>
                <w:p w14:paraId="275D72C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r>
          </w:tbl>
          <w:p w14:paraId="530DFDA0">
            <w:pPr>
              <w:spacing w:line="500" w:lineRule="exact"/>
              <w:ind w:firstLine="480"/>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产品方案关联图：</w:t>
            </w:r>
          </w:p>
          <w:p w14:paraId="2FC38BBB">
            <w:pPr>
              <w:spacing w:line="240" w:lineRule="auto"/>
              <w:jc w:val="center"/>
              <w:rPr>
                <w:rFonts w:hint="eastAsia"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object>
                <v:shape id="_x0000_i1025" o:spt="75" type="#_x0000_t75" style="height:178.95pt;width:401.7pt;" o:ole="t" filled="f" o:preferrelative="t" stroked="f" coordsize="21600,21600">
                  <v:path/>
                  <v:fill on="f" focussize="0,0"/>
                  <v:stroke on="f"/>
                  <v:imagedata r:id="rId11" o:title=""/>
                  <o:lock v:ext="edit" aspectratio="f"/>
                  <w10:wrap type="none"/>
                  <w10:anchorlock/>
                </v:shape>
                <o:OLEObject Type="Embed" ProgID="Visio.Drawing.15" ShapeID="_x0000_i1025" DrawAspect="Content" ObjectID="_1468075725" r:id="rId10">
                  <o:LockedField>false</o:LockedField>
                </o:OLEObject>
              </w:object>
            </w:r>
          </w:p>
          <w:p w14:paraId="7C9011FF">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ascii="Times New Roman" w:hAnsi="Times New Roman" w:eastAsia="宋体"/>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b/>
                <w:bCs/>
                <w:color w:val="000000" w:themeColor="text1"/>
                <w:sz w:val="21"/>
                <w:szCs w:val="21"/>
                <w:highlight w:val="none"/>
                <w:lang w:eastAsia="zh-CN"/>
                <w14:textFill>
                  <w14:solidFill>
                    <w14:schemeClr w14:val="tx1"/>
                  </w14:solidFill>
                </w14:textFill>
              </w:rPr>
              <w:t>图</w:t>
            </w:r>
            <w:r>
              <w:rPr>
                <w:rFonts w:hint="eastAsia" w:ascii="Times New Roman" w:hAnsi="Times New Roman" w:eastAsia="宋体"/>
                <w:b/>
                <w:bCs/>
                <w:color w:val="000000" w:themeColor="text1"/>
                <w:sz w:val="21"/>
                <w:szCs w:val="21"/>
                <w:highlight w:val="none"/>
                <w:lang w:val="en-US" w:eastAsia="zh-CN"/>
                <w14:textFill>
                  <w14:solidFill>
                    <w14:schemeClr w14:val="tx1"/>
                  </w14:solidFill>
                </w14:textFill>
              </w:rPr>
              <w:t>2-1    本项目</w:t>
            </w:r>
            <w:r>
              <w:rPr>
                <w:rFonts w:hint="eastAsia" w:ascii="Times New Roman" w:hAnsi="Times New Roman" w:eastAsia="宋体"/>
                <w:b/>
                <w:bCs/>
                <w:color w:val="000000" w:themeColor="text1"/>
                <w:sz w:val="21"/>
                <w:szCs w:val="21"/>
                <w:highlight w:val="none"/>
                <w:lang w:eastAsia="zh-CN"/>
                <w14:textFill>
                  <w14:solidFill>
                    <w14:schemeClr w14:val="tx1"/>
                  </w14:solidFill>
                </w14:textFill>
              </w:rPr>
              <w:t>产品方案关联图</w:t>
            </w:r>
          </w:p>
          <w:p w14:paraId="3E31EA66">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根据《预拌混凝土》（GB/T14902-2012）对预拌混凝土的质量要求如下。</w:t>
            </w:r>
          </w:p>
          <w:p w14:paraId="6F490B32">
            <w:pPr>
              <w:keepNext w:val="0"/>
              <w:keepLines w:val="0"/>
              <w:pageBreakBefore w:val="0"/>
              <w:widowControl w:val="0"/>
              <w:numPr>
                <w:ilvl w:val="0"/>
                <w:numId w:val="4"/>
              </w:numPr>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强度：混凝土强度应满足设计要求，检验评定应符合GB/T50107-2010的规定。</w:t>
            </w:r>
          </w:p>
          <w:p w14:paraId="4E4CACD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（2）坍落度和坍落度经时损失：混凝土坍落度实测值与控制目标值的允 许偏差应符合下表2-</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w:t>
            </w:r>
            <w:r>
              <w:rPr>
                <w:rFonts w:hint="eastAsia" w:ascii="Times New Roman" w:hAnsi="Times New Roman" w:eastAsia="宋体"/>
                <w:color w:val="000000" w:themeColor="text1"/>
                <w:sz w:val="24"/>
                <w:szCs w:val="24"/>
                <w:highlight w:val="none"/>
                <w14:textFill>
                  <w14:solidFill>
                    <w14:schemeClr w14:val="tx1"/>
                  </w14:solidFill>
                </w14:textFill>
              </w:rPr>
              <w:t>的规定。常规品的泵送混凝土坍落度控制目标值不宜 大于180mm，并应满足施工要求，坍落度经时损失不宜大于30mm/h；特制品混凝土坍落度应满足相关标准规定和施工要求。</w:t>
            </w:r>
          </w:p>
          <w:p w14:paraId="1AC7471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right"/>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表2-</w:t>
            </w:r>
            <w:r>
              <w:rPr>
                <w:rFonts w:hint="eastAsia" w:ascii="Times New Roman" w:hAnsi="Times New Roman" w:eastAsia="宋体"/>
                <w:b/>
                <w:color w:val="000000" w:themeColor="text1"/>
                <w:szCs w:val="21"/>
                <w:highlight w:val="none"/>
                <w:lang w:val="en-US" w:eastAsia="zh-CN"/>
                <w14:textFill>
                  <w14:solidFill>
                    <w14:schemeClr w14:val="tx1"/>
                  </w14:solidFill>
                </w14:textFill>
              </w:rPr>
              <w:t>7</w:t>
            </w:r>
            <w:r>
              <w:rPr>
                <w:rFonts w:hint="eastAsia" w:ascii="Times New Roman" w:hAnsi="Times New Roman" w:eastAsia="宋体"/>
                <w:b/>
                <w:color w:val="000000" w:themeColor="text1"/>
                <w:szCs w:val="21"/>
                <w:highlight w:val="none"/>
                <w14:textFill>
                  <w14:solidFill>
                    <w14:schemeClr w14:val="tx1"/>
                  </w14:solidFill>
                </w14:textFill>
              </w:rPr>
              <w:t xml:space="preserve">    混凝土拌合轫稠度允许偏差      </w:t>
            </w:r>
            <w:r>
              <w:rPr>
                <w:rFonts w:hint="eastAsia" w:ascii="Times New Roman" w:hAnsi="Times New Roman" w:eastAsia="宋体"/>
                <w:b/>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color w:val="000000" w:themeColor="text1"/>
                <w:szCs w:val="21"/>
                <w:highlight w:val="none"/>
                <w14:textFill>
                  <w14:solidFill>
                    <w14:schemeClr w14:val="tx1"/>
                  </w14:solidFill>
                </w14:textFill>
              </w:rPr>
              <w:t xml:space="preserve">   单位：mm</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591"/>
              <w:gridCol w:w="2554"/>
              <w:gridCol w:w="2893"/>
            </w:tblGrid>
            <w:tr w14:paraId="2EF4F4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tcBorders>
                    <w:tl2br w:val="nil"/>
                    <w:tr2bl w:val="nil"/>
                  </w:tcBorders>
                  <w:vAlign w:val="center"/>
                </w:tcPr>
                <w:p w14:paraId="3D6ED5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hint="eastAsia" w:ascii="Times New Roman" w:hAnsi="Times New Roman" w:eastAsia="宋体"/>
                      <w:b/>
                      <w:color w:val="000000" w:themeColor="text1"/>
                      <w:szCs w:val="21"/>
                      <w:highlight w:val="none"/>
                      <w14:textFill>
                        <w14:solidFill>
                          <w14:schemeClr w14:val="tx1"/>
                        </w14:solidFill>
                      </w14:textFill>
                    </w:rPr>
                    <w:t>项目</w:t>
                  </w:r>
                </w:p>
              </w:tc>
              <w:tc>
                <w:tcPr>
                  <w:tcW w:w="1588" w:type="pct"/>
                  <w:tcBorders>
                    <w:tl2br w:val="nil"/>
                    <w:tr2bl w:val="nil"/>
                  </w:tcBorders>
                  <w:vAlign w:val="center"/>
                </w:tcPr>
                <w:p w14:paraId="3781CD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hint="eastAsia" w:ascii="Times New Roman" w:hAnsi="Times New Roman" w:eastAsia="宋体"/>
                      <w:b/>
                      <w:color w:val="000000" w:themeColor="text1"/>
                      <w:szCs w:val="21"/>
                      <w:highlight w:val="none"/>
                      <w14:textFill>
                        <w14:solidFill>
                          <w14:schemeClr w14:val="tx1"/>
                        </w14:solidFill>
                      </w14:textFill>
                    </w:rPr>
                    <w:t>控制项目标值</w:t>
                  </w:r>
                </w:p>
              </w:tc>
              <w:tc>
                <w:tcPr>
                  <w:tcW w:w="1799" w:type="pct"/>
                  <w:tcBorders>
                    <w:tl2br w:val="nil"/>
                    <w:tr2bl w:val="nil"/>
                  </w:tcBorders>
                  <w:vAlign w:val="center"/>
                </w:tcPr>
                <w:p w14:paraId="38DE84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hint="eastAsia" w:ascii="Times New Roman" w:hAnsi="Times New Roman" w:eastAsia="宋体"/>
                      <w:b/>
                      <w:color w:val="000000" w:themeColor="text1"/>
                      <w:szCs w:val="21"/>
                      <w:highlight w:val="none"/>
                      <w14:textFill>
                        <w14:solidFill>
                          <w14:schemeClr w14:val="tx1"/>
                        </w14:solidFill>
                      </w14:textFill>
                    </w:rPr>
                    <w:t>允许偏差</w:t>
                  </w:r>
                </w:p>
              </w:tc>
            </w:tr>
            <w:tr w14:paraId="3E6C29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vMerge w:val="restart"/>
                  <w:tcBorders>
                    <w:tl2br w:val="nil"/>
                    <w:tr2bl w:val="nil"/>
                  </w:tcBorders>
                  <w:vAlign w:val="center"/>
                </w:tcPr>
                <w:p w14:paraId="4CD848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坍落度</w:t>
                  </w:r>
                </w:p>
              </w:tc>
              <w:tc>
                <w:tcPr>
                  <w:tcW w:w="1588" w:type="pct"/>
                  <w:tcBorders>
                    <w:tl2br w:val="nil"/>
                    <w:tr2bl w:val="nil"/>
                  </w:tcBorders>
                  <w:vAlign w:val="center"/>
                </w:tcPr>
                <w:p w14:paraId="38673B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≤40</w:t>
                  </w:r>
                </w:p>
              </w:tc>
              <w:tc>
                <w:tcPr>
                  <w:tcW w:w="1799" w:type="pct"/>
                  <w:tcBorders>
                    <w:tl2br w:val="nil"/>
                    <w:tr2bl w:val="nil"/>
                  </w:tcBorders>
                  <w:vAlign w:val="center"/>
                </w:tcPr>
                <w:p w14:paraId="2165A6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±10</w:t>
                  </w:r>
                </w:p>
              </w:tc>
            </w:tr>
            <w:tr w14:paraId="1C6D9C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vMerge w:val="continue"/>
                  <w:tcBorders>
                    <w:tl2br w:val="nil"/>
                    <w:tr2bl w:val="nil"/>
                  </w:tcBorders>
                  <w:vAlign w:val="center"/>
                </w:tcPr>
                <w:p w14:paraId="7271FD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1588" w:type="pct"/>
                  <w:tcBorders>
                    <w:tl2br w:val="nil"/>
                    <w:tr2bl w:val="nil"/>
                  </w:tcBorders>
                  <w:vAlign w:val="center"/>
                </w:tcPr>
                <w:p w14:paraId="41F321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50~90</w:t>
                  </w:r>
                </w:p>
              </w:tc>
              <w:tc>
                <w:tcPr>
                  <w:tcW w:w="1799" w:type="pct"/>
                  <w:tcBorders>
                    <w:tl2br w:val="nil"/>
                    <w:tr2bl w:val="nil"/>
                  </w:tcBorders>
                  <w:vAlign w:val="center"/>
                </w:tcPr>
                <w:p w14:paraId="5C64D9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±20</w:t>
                  </w:r>
                </w:p>
              </w:tc>
            </w:tr>
            <w:tr w14:paraId="098C72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vMerge w:val="continue"/>
                  <w:tcBorders>
                    <w:tl2br w:val="nil"/>
                    <w:tr2bl w:val="nil"/>
                  </w:tcBorders>
                  <w:vAlign w:val="center"/>
                </w:tcPr>
                <w:p w14:paraId="618F5F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1588" w:type="pct"/>
                  <w:tcBorders>
                    <w:tl2br w:val="nil"/>
                    <w:tr2bl w:val="nil"/>
                  </w:tcBorders>
                  <w:vAlign w:val="center"/>
                </w:tcPr>
                <w:p w14:paraId="0D5208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≥100</w:t>
                  </w:r>
                </w:p>
              </w:tc>
              <w:tc>
                <w:tcPr>
                  <w:tcW w:w="1799" w:type="pct"/>
                  <w:tcBorders>
                    <w:tl2br w:val="nil"/>
                    <w:tr2bl w:val="nil"/>
                  </w:tcBorders>
                  <w:vAlign w:val="center"/>
                </w:tcPr>
                <w:p w14:paraId="2820DD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±30</w:t>
                  </w:r>
                </w:p>
              </w:tc>
            </w:tr>
            <w:tr w14:paraId="4A4201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1" w:type="pct"/>
                  <w:tcBorders>
                    <w:tl2br w:val="nil"/>
                    <w:tr2bl w:val="nil"/>
                  </w:tcBorders>
                  <w:vAlign w:val="center"/>
                </w:tcPr>
                <w:p w14:paraId="16640B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扩展度</w:t>
                  </w:r>
                </w:p>
              </w:tc>
              <w:tc>
                <w:tcPr>
                  <w:tcW w:w="1588" w:type="pct"/>
                  <w:tcBorders>
                    <w:tl2br w:val="nil"/>
                    <w:tr2bl w:val="nil"/>
                  </w:tcBorders>
                  <w:vAlign w:val="center"/>
                </w:tcPr>
                <w:p w14:paraId="59FF32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≥350</w:t>
                  </w:r>
                </w:p>
              </w:tc>
              <w:tc>
                <w:tcPr>
                  <w:tcW w:w="1799" w:type="pct"/>
                  <w:tcBorders>
                    <w:tl2br w:val="nil"/>
                    <w:tr2bl w:val="nil"/>
                  </w:tcBorders>
                  <w:vAlign w:val="center"/>
                </w:tcPr>
                <w:p w14:paraId="5ADC9C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±30</w:t>
                  </w:r>
                </w:p>
              </w:tc>
            </w:tr>
          </w:tbl>
          <w:p w14:paraId="2E848E31">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 xml:space="preserve">扩展度：扩展度实浏值与拄制目标值的允许偏差宜符合上表的规定。 自密实混凝土扩展度拄制目标值不宜小于550mm，并应满足施工要求。 </w:t>
            </w:r>
          </w:p>
          <w:p w14:paraId="34AE637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（4）含气量：混凝土含气量实测值不宜大于7%，并与合同规定值的允许偏差不宜超过±1.0%。</w:t>
            </w:r>
          </w:p>
          <w:p w14:paraId="068211F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（5）耐久性能：混凝土耐久性能应满足设计要求，检验评定应符合JGJ/T193的规定。</w:t>
            </w:r>
          </w:p>
          <w:p w14:paraId="36552189">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bCs/>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4"/>
                <w:highlight w:val="none"/>
                <w:lang w:eastAsia="zh-CN"/>
                <w14:textFill>
                  <w14:solidFill>
                    <w14:schemeClr w14:val="tx1"/>
                  </w14:solidFill>
                </w14:textFill>
              </w:rPr>
              <w:t>四</w:t>
            </w:r>
            <w:r>
              <w:rPr>
                <w:rFonts w:hint="eastAsia" w:ascii="Times New Roman" w:hAnsi="Times New Roman" w:eastAsia="宋体"/>
                <w:b/>
                <w:bCs/>
                <w:color w:val="000000" w:themeColor="text1"/>
                <w:sz w:val="24"/>
                <w:szCs w:val="24"/>
                <w:highlight w:val="none"/>
                <w14:textFill>
                  <w14:solidFill>
                    <w14:schemeClr w14:val="tx1"/>
                  </w14:solidFill>
                </w14:textFill>
              </w:rPr>
              <w:t>、项目组成</w:t>
            </w:r>
          </w:p>
          <w:p w14:paraId="3FFD3EB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宋体" w:hAnsi="宋体" w:eastAsia="宋体"/>
                <w:color w:val="000000" w:themeColor="text1"/>
                <w:sz w:val="24"/>
                <w:highlight w:val="none"/>
                <w14:textFill>
                  <w14:solidFill>
                    <w14:schemeClr w14:val="tx1"/>
                  </w14:solidFill>
                </w14:textFill>
              </w:rPr>
              <w:t>本项目主要包括主体工程、辅助工程、公用工程和环保工程等</w:t>
            </w:r>
            <w:r>
              <w:rPr>
                <w:rFonts w:hint="eastAsia" w:ascii="宋体" w:hAnsi="宋体" w:eastAsia="宋体"/>
                <w:color w:val="000000" w:themeColor="text1"/>
                <w:sz w:val="24"/>
                <w:highlight w:val="none"/>
                <w:lang w:eastAsia="zh-CN"/>
                <w14:textFill>
                  <w14:solidFill>
                    <w14:schemeClr w14:val="tx1"/>
                  </w14:solidFill>
                </w14:textFill>
              </w:rPr>
              <w:t>，项目不设置实验室</w:t>
            </w:r>
            <w:r>
              <w:rPr>
                <w:rFonts w:hint="eastAsia" w:ascii="宋体" w:hAnsi="宋体" w:eastAsia="宋体"/>
                <w:color w:val="000000" w:themeColor="text1"/>
                <w:sz w:val="24"/>
                <w:highlight w:val="none"/>
                <w14:textFill>
                  <w14:solidFill>
                    <w14:schemeClr w14:val="tx1"/>
                  </w14:solidFill>
                </w14:textFill>
              </w:rPr>
              <w:t>。</w:t>
            </w:r>
            <w:r>
              <w:rPr>
                <w:rFonts w:hint="eastAsia" w:ascii="宋体" w:hAnsi="宋体" w:eastAsia="宋体"/>
                <w:color w:val="000000" w:themeColor="text1"/>
                <w:sz w:val="24"/>
                <w:highlight w:val="none"/>
                <w:lang w:eastAsia="zh-CN"/>
                <w14:textFill>
                  <w14:solidFill>
                    <w14:schemeClr w14:val="tx1"/>
                  </w14:solidFill>
                </w14:textFill>
              </w:rPr>
              <w:t>项目所有生产活动均在密闭厂房内进行，</w:t>
            </w:r>
            <w:r>
              <w:rPr>
                <w:rFonts w:hint="eastAsia" w:ascii="宋体" w:hAnsi="宋体" w:eastAsia="宋体"/>
                <w:color w:val="000000" w:themeColor="text1"/>
                <w:sz w:val="24"/>
                <w:highlight w:val="none"/>
                <w14:textFill>
                  <w14:solidFill>
                    <w14:schemeClr w14:val="tx1"/>
                  </w14:solidFill>
                </w14:textFill>
              </w:rPr>
              <w:t>具体工程内容详见</w:t>
            </w:r>
            <w:r>
              <w:rPr>
                <w:rFonts w:ascii="Times New Roman" w:hAnsi="Times New Roman" w:eastAsia="宋体"/>
                <w:color w:val="000000" w:themeColor="text1"/>
                <w:sz w:val="24"/>
                <w:highlight w:val="none"/>
                <w14:textFill>
                  <w14:solidFill>
                    <w14:schemeClr w14:val="tx1"/>
                  </w14:solidFill>
                </w14:textFill>
              </w:rPr>
              <w:t>下表2-</w:t>
            </w:r>
            <w:r>
              <w:rPr>
                <w:rFonts w:hint="eastAsia" w:ascii="Times New Roman" w:hAnsi="Times New Roman" w:eastAsia="宋体"/>
                <w:color w:val="000000" w:themeColor="text1"/>
                <w:sz w:val="24"/>
                <w:highlight w:val="none"/>
                <w:lang w:val="en-US" w:eastAsia="zh-CN"/>
                <w14:textFill>
                  <w14:solidFill>
                    <w14:schemeClr w14:val="tx1"/>
                  </w14:solidFill>
                </w14:textFill>
              </w:rPr>
              <w:t>8</w:t>
            </w:r>
            <w:r>
              <w:rPr>
                <w:rFonts w:ascii="Times New Roman" w:hAnsi="Times New Roman" w:eastAsia="宋体"/>
                <w:color w:val="000000" w:themeColor="text1"/>
                <w:sz w:val="24"/>
                <w:highlight w:val="none"/>
                <w14:textFill>
                  <w14:solidFill>
                    <w14:schemeClr w14:val="tx1"/>
                  </w14:solidFill>
                </w14:textFill>
              </w:rPr>
              <w:t>。</w:t>
            </w:r>
          </w:p>
          <w:p w14:paraId="428DDBB5">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-8</w:t>
            </w:r>
            <w:r>
              <w:rPr>
                <w:rFonts w:ascii="Times New Roman" w:hAnsi="Times New Roman" w:eastAsia="宋体"/>
                <w:b/>
                <w:bCs/>
                <w:color w:val="000000" w:themeColor="text1"/>
                <w:kern w:val="0"/>
                <w:szCs w:val="21"/>
                <w:highlight w:val="none"/>
                <w14:textFill>
                  <w14:solidFill>
                    <w14:schemeClr w14:val="tx1"/>
                  </w14:solidFill>
                </w14:textFill>
              </w:rPr>
              <w:t xml:space="preserve">    项目组成及环境影响因素表</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28"/>
              <w:gridCol w:w="930"/>
              <w:gridCol w:w="4223"/>
              <w:gridCol w:w="1202"/>
              <w:gridCol w:w="958"/>
            </w:tblGrid>
            <w:tr w14:paraId="72FBB9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1658" w:type="dxa"/>
                  <w:gridSpan w:val="2"/>
                  <w:vMerge w:val="restart"/>
                  <w:vAlign w:val="center"/>
                </w:tcPr>
                <w:p w14:paraId="6C8D615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项目</w:t>
                  </w:r>
                </w:p>
              </w:tc>
              <w:tc>
                <w:tcPr>
                  <w:tcW w:w="4223" w:type="dxa"/>
                  <w:vMerge w:val="restart"/>
                  <w:vAlign w:val="center"/>
                </w:tcPr>
                <w:p w14:paraId="6C50735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工程内容及规模</w:t>
                  </w:r>
                </w:p>
              </w:tc>
              <w:tc>
                <w:tcPr>
                  <w:tcW w:w="2160" w:type="dxa"/>
                  <w:gridSpan w:val="2"/>
                  <w:vAlign w:val="center"/>
                </w:tcPr>
                <w:p w14:paraId="4CEEE96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可能造成的环境影响</w:t>
                  </w:r>
                </w:p>
              </w:tc>
            </w:tr>
            <w:tr w14:paraId="30F8AC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1658" w:type="dxa"/>
                  <w:gridSpan w:val="2"/>
                  <w:vMerge w:val="continue"/>
                  <w:vAlign w:val="center"/>
                </w:tcPr>
                <w:p w14:paraId="11BB1DD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p>
              </w:tc>
              <w:tc>
                <w:tcPr>
                  <w:tcW w:w="4223" w:type="dxa"/>
                  <w:vMerge w:val="continue"/>
                  <w:vAlign w:val="center"/>
                </w:tcPr>
                <w:p w14:paraId="18606BB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p>
              </w:tc>
              <w:tc>
                <w:tcPr>
                  <w:tcW w:w="1202" w:type="dxa"/>
                  <w:vAlign w:val="center"/>
                </w:tcPr>
                <w:p w14:paraId="5A9E606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施工期</w:t>
                  </w:r>
                </w:p>
              </w:tc>
              <w:tc>
                <w:tcPr>
                  <w:tcW w:w="958" w:type="dxa"/>
                  <w:vAlign w:val="center"/>
                </w:tcPr>
                <w:p w14:paraId="5091C12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营运期</w:t>
                  </w:r>
                </w:p>
              </w:tc>
            </w:tr>
            <w:tr w14:paraId="190B17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restart"/>
                  <w:vAlign w:val="center"/>
                </w:tcPr>
                <w:p w14:paraId="3033375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主体</w:t>
                  </w:r>
                </w:p>
                <w:p w14:paraId="0ED054B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工程</w:t>
                  </w:r>
                </w:p>
              </w:tc>
              <w:tc>
                <w:tcPr>
                  <w:tcW w:w="930" w:type="dxa"/>
                  <w:vAlign w:val="center"/>
                </w:tcPr>
                <w:p w14:paraId="03FA20A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碎石</w:t>
                  </w:r>
                </w:p>
                <w:p w14:paraId="4C0B3B4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加工厂</w:t>
                  </w:r>
                </w:p>
              </w:tc>
              <w:tc>
                <w:tcPr>
                  <w:tcW w:w="4223" w:type="dxa"/>
                  <w:vAlign w:val="center"/>
                </w:tcPr>
                <w:p w14:paraId="77C8EA5C">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钢结构封闭厂房，</w:t>
                  </w:r>
                  <w:r>
                    <w:rPr>
                      <w:rFonts w:hint="eastAsia" w:ascii="Times New Roman" w:hAnsi="Times New Roman" w:eastAsia="宋体"/>
                      <w:color w:val="000000" w:themeColor="text1"/>
                      <w:szCs w:val="21"/>
                      <w:highlight w:val="none"/>
                      <w14:textFill>
                        <w14:solidFill>
                          <w14:schemeClr w14:val="tx1"/>
                        </w14:solidFill>
                      </w14:textFill>
                    </w:rPr>
                    <w:t>占地面积</w:t>
                  </w:r>
                  <w:r>
                    <w:rPr>
                      <w:rFonts w:hint="eastAsia" w:ascii="Times New Roman" w:hAnsi="Times New Roman" w:eastAsia="宋体"/>
                      <w:color w:val="000000" w:themeColor="text1"/>
                      <w:szCs w:val="21"/>
                      <w:highlight w:val="none"/>
                      <w:lang w:val="en-US" w:eastAsia="zh-CN"/>
                      <w14:textFill>
                        <w14:solidFill>
                          <w14:schemeClr w14:val="tx1"/>
                        </w14:solidFill>
                      </w14:textFill>
                    </w:rPr>
                    <w:t>700m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内设颚式破碎机、反击破碎机、振动筛、皮带输送机</w:t>
                  </w:r>
                  <w:r>
                    <w:rPr>
                      <w:rFonts w:hint="eastAsia" w:ascii="Times New Roman" w:hAnsi="Times New Roman" w:eastAsia="宋体"/>
                      <w:color w:val="000000" w:themeColor="text1"/>
                      <w:szCs w:val="21"/>
                      <w:highlight w:val="none"/>
                      <w14:textFill>
                        <w14:solidFill>
                          <w14:schemeClr w14:val="tx1"/>
                        </w14:solidFill>
                      </w14:textFill>
                    </w:rPr>
                    <w:t>等设备</w:t>
                  </w:r>
                  <w:r>
                    <w:rPr>
                      <w:rFonts w:hint="eastAsia" w:ascii="Times New Roman" w:hAnsi="Times New Roman" w:eastAsia="宋体"/>
                      <w:color w:val="000000" w:themeColor="text1"/>
                      <w:szCs w:val="21"/>
                      <w:highlight w:val="none"/>
                      <w:lang w:eastAsia="zh-CN"/>
                      <w14:textFill>
                        <w14:solidFill>
                          <w14:schemeClr w14:val="tx1"/>
                        </w14:solidFill>
                      </w14:textFill>
                    </w:rPr>
                    <w:t>。</w:t>
                  </w:r>
                </w:p>
              </w:tc>
              <w:tc>
                <w:tcPr>
                  <w:tcW w:w="1202" w:type="dxa"/>
                  <w:vMerge w:val="restart"/>
                  <w:vAlign w:val="center"/>
                </w:tcPr>
                <w:p w14:paraId="6AF897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占用土地、植被破坏、水土流失、施工废气、扬尘、施工噪声、弃土、生活垃圾、建筑垃圾、施工废水</w:t>
                  </w:r>
                </w:p>
              </w:tc>
              <w:tc>
                <w:tcPr>
                  <w:tcW w:w="958" w:type="dxa"/>
                  <w:vMerge w:val="restart"/>
                  <w:vAlign w:val="center"/>
                </w:tcPr>
                <w:p w14:paraId="02E63C6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r>
                    <w:rPr>
                      <w:rFonts w:hint="eastAsia" w:ascii="Times New Roman" w:hAnsi="Times New Roman" w:eastAsia="宋体"/>
                      <w:color w:val="000000" w:themeColor="text1"/>
                      <w:szCs w:val="21"/>
                      <w:highlight w:val="none"/>
                      <w:lang w:eastAsia="zh-CN"/>
                      <w14:textFill>
                        <w14:solidFill>
                          <w14:schemeClr w14:val="tx1"/>
                        </w14:solidFill>
                      </w14:textFill>
                    </w:rPr>
                    <w:t>焊接烟尘、生产废水、噪声、边角废料等一般固废</w:t>
                  </w:r>
                </w:p>
              </w:tc>
            </w:tr>
            <w:tr w14:paraId="665685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1DB2025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65BEFA6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水稳站</w:t>
                  </w:r>
                </w:p>
              </w:tc>
              <w:tc>
                <w:tcPr>
                  <w:tcW w:w="4223" w:type="dxa"/>
                  <w:vAlign w:val="center"/>
                </w:tcPr>
                <w:p w14:paraId="4162DD65">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钢结构封闭厂房，</w:t>
                  </w:r>
                  <w:r>
                    <w:rPr>
                      <w:rFonts w:hint="eastAsia" w:ascii="Times New Roman" w:hAnsi="Times New Roman" w:eastAsia="宋体"/>
                      <w:color w:val="000000" w:themeColor="text1"/>
                      <w:szCs w:val="21"/>
                      <w:highlight w:val="none"/>
                      <w14:textFill>
                        <w14:solidFill>
                          <w14:schemeClr w14:val="tx1"/>
                        </w14:solidFill>
                      </w14:textFill>
                    </w:rPr>
                    <w:t>占地面积</w:t>
                  </w:r>
                  <w:r>
                    <w:rPr>
                      <w:rFonts w:hint="eastAsia" w:ascii="Times New Roman" w:hAnsi="Times New Roman" w:eastAsia="宋体"/>
                      <w:color w:val="000000" w:themeColor="text1"/>
                      <w:szCs w:val="21"/>
                      <w:highlight w:val="none"/>
                      <w:lang w:val="en-US" w:eastAsia="zh-CN"/>
                      <w14:textFill>
                        <w14:solidFill>
                          <w14:schemeClr w14:val="tx1"/>
                        </w14:solidFill>
                      </w14:textFill>
                    </w:rPr>
                    <w:t>3000m</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内设</w:t>
                  </w:r>
                  <w:r>
                    <w:rPr>
                      <w:rFonts w:hint="eastAsia" w:ascii="Times New Roman" w:hAnsi="Times New Roman" w:eastAsia="宋体"/>
                      <w:color w:val="000000" w:themeColor="text1"/>
                      <w:szCs w:val="21"/>
                      <w:highlight w:val="none"/>
                      <w:lang w:val="en-US" w:eastAsia="zh-CN"/>
                      <w14:textFill>
                        <w14:solidFill>
                          <w14:schemeClr w14:val="tx1"/>
                        </w14:solidFill>
                      </w14:textFill>
                    </w:rPr>
                    <w:t>600t/h拌合楼、100t水泥筒仓、配料仓等设备</w:t>
                  </w:r>
                  <w:r>
                    <w:rPr>
                      <w:rFonts w:hint="eastAsia" w:ascii="Times New Roman" w:hAnsi="Times New Roman" w:eastAsia="宋体"/>
                      <w:color w:val="000000" w:themeColor="text1"/>
                      <w:szCs w:val="21"/>
                      <w:highlight w:val="none"/>
                      <w:lang w:eastAsia="zh-CN"/>
                      <w14:textFill>
                        <w14:solidFill>
                          <w14:schemeClr w14:val="tx1"/>
                        </w14:solidFill>
                      </w14:textFill>
                    </w:rPr>
                    <w:t>。</w:t>
                  </w:r>
                </w:p>
              </w:tc>
              <w:tc>
                <w:tcPr>
                  <w:tcW w:w="1202" w:type="dxa"/>
                  <w:vMerge w:val="continue"/>
                  <w:vAlign w:val="center"/>
                </w:tcPr>
                <w:p w14:paraId="683CC26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3DAF6AC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r>
            <w:tr w14:paraId="56A43F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743D4FE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39F9187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混凝土拌和站</w:t>
                  </w:r>
                </w:p>
              </w:tc>
              <w:tc>
                <w:tcPr>
                  <w:tcW w:w="4223" w:type="dxa"/>
                  <w:vAlign w:val="center"/>
                </w:tcPr>
                <w:p w14:paraId="08AA62A8">
                  <w:pPr>
                    <w:keepNext w:val="0"/>
                    <w:keepLines w:val="0"/>
                    <w:pageBreakBefore w:val="0"/>
                    <w:widowControl w:val="0"/>
                    <w:kinsoku/>
                    <w:overflowPunct/>
                    <w:topLinePunct w:val="0"/>
                    <w:autoSpaceDE/>
                    <w:autoSpaceDN/>
                    <w:bidi w:val="0"/>
                    <w:adjustRightInd w:val="0"/>
                    <w:snapToGrid w:val="0"/>
                    <w:spacing w:line="240" w:lineRule="auto"/>
                    <w:ind w:firstLine="208"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混凝土拌和站区域总面积约</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7846</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，用以生产混凝土。</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共设置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条混凝土拌和机组，1#机组生产拌和能力为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90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/h、2#机组生产拌和能力为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90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/h。每条机组设置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00t水泥筒仓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00t水泥筒仓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，100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t</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矿粉</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2个</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，高度2</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拌合楼</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均</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为框架结构，高度</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13.7</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1#机组、2#机组各设置10t外加剂储罐</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个，共用10t储水罐</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6</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、50t蓄水罐1个。</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每条机组配备5个配料仓料斗（含自动称量装置）及1条封闭式传送带</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w:t>
                  </w:r>
                </w:p>
              </w:tc>
              <w:tc>
                <w:tcPr>
                  <w:tcW w:w="1202" w:type="dxa"/>
                  <w:vMerge w:val="continue"/>
                  <w:vAlign w:val="center"/>
                </w:tcPr>
                <w:p w14:paraId="212EABB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734EEFF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6A944D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4A0B560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604C5F0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小型</w:t>
                  </w:r>
                  <w:r>
                    <w:rPr>
                      <w:rFonts w:hint="eastAsia" w:ascii="Times New Roman" w:hAnsi="Times New Roman" w:eastAsia="宋体"/>
                      <w:color w:val="000000" w:themeColor="text1"/>
                      <w:szCs w:val="21"/>
                      <w:highlight w:val="none"/>
                      <w:lang w:eastAsia="zh-CN"/>
                      <w14:textFill>
                        <w14:solidFill>
                          <w14:schemeClr w14:val="tx1"/>
                        </w14:solidFill>
                      </w14:textFill>
                    </w:rPr>
                    <w:t>钢筋加工</w:t>
                  </w:r>
                  <w:r>
                    <w:rPr>
                      <w:rFonts w:hint="eastAsia" w:ascii="Times New Roman" w:hAnsi="Times New Roman" w:eastAsia="宋体"/>
                      <w:color w:val="000000" w:themeColor="text1"/>
                      <w:szCs w:val="21"/>
                      <w:highlight w:val="none"/>
                      <w14:textFill>
                        <w14:solidFill>
                          <w14:schemeClr w14:val="tx1"/>
                        </w14:solidFill>
                      </w14:textFill>
                    </w:rPr>
                    <w:t>场</w:t>
                  </w:r>
                </w:p>
              </w:tc>
              <w:tc>
                <w:tcPr>
                  <w:tcW w:w="4223" w:type="dxa"/>
                  <w:vAlign w:val="center"/>
                </w:tcPr>
                <w:p w14:paraId="27526FC9">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钢结构封闭厂房，</w:t>
                  </w:r>
                  <w:r>
                    <w:rPr>
                      <w:rFonts w:hint="eastAsia" w:ascii="Times New Roman" w:hAnsi="Times New Roman" w:eastAsia="宋体"/>
                      <w:color w:val="000000" w:themeColor="text1"/>
                      <w:szCs w:val="21"/>
                      <w:highlight w:val="none"/>
                      <w14:textFill>
                        <w14:solidFill>
                          <w14:schemeClr w14:val="tx1"/>
                        </w14:solidFill>
                      </w14:textFill>
                    </w:rPr>
                    <w:t>占地面积</w:t>
                  </w:r>
                  <w:r>
                    <w:rPr>
                      <w:rFonts w:hint="eastAsia" w:ascii="Times New Roman" w:hAnsi="Times New Roman" w:eastAsia="宋体"/>
                      <w:color w:val="000000" w:themeColor="text1"/>
                      <w:szCs w:val="21"/>
                      <w:highlight w:val="none"/>
                      <w:lang w:val="en-US" w:eastAsia="zh-CN"/>
                      <w14:textFill>
                        <w14:solidFill>
                          <w14:schemeClr w14:val="tx1"/>
                        </w14:solidFill>
                      </w14:textFill>
                    </w:rPr>
                    <w:t>3404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内设全自动液压钢筋调直切断机、自动焊网机、数控钢筋弯曲中心、数控钢筋弯箍机、滚丝机、钢筋笼滚焊机、盘筋放线机等</w:t>
                  </w:r>
                  <w:r>
                    <w:rPr>
                      <w:rFonts w:hint="eastAsia" w:ascii="Times New Roman" w:hAnsi="Times New Roman" w:eastAsia="宋体"/>
                      <w:color w:val="000000" w:themeColor="text1"/>
                      <w:szCs w:val="21"/>
                      <w:highlight w:val="none"/>
                      <w14:textFill>
                        <w14:solidFill>
                          <w14:schemeClr w14:val="tx1"/>
                        </w14:solidFill>
                      </w14:textFill>
                    </w:rPr>
                    <w:t>各种钢筋加工设备</w:t>
                  </w:r>
                </w:p>
              </w:tc>
              <w:tc>
                <w:tcPr>
                  <w:tcW w:w="1202" w:type="dxa"/>
                  <w:vMerge w:val="continue"/>
                  <w:vAlign w:val="center"/>
                </w:tcPr>
                <w:p w14:paraId="54F2BE5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4559611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26B65D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018BCDC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00B285A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预制梁厂</w:t>
                  </w:r>
                </w:p>
              </w:tc>
              <w:tc>
                <w:tcPr>
                  <w:tcW w:w="4223" w:type="dxa"/>
                  <w:vAlign w:val="center"/>
                </w:tcPr>
                <w:p w14:paraId="4D2162F4">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钢结构封闭厂房，</w:t>
                  </w:r>
                  <w:r>
                    <w:rPr>
                      <w:rFonts w:hint="eastAsia" w:ascii="Times New Roman" w:hAnsi="Times New Roman" w:eastAsia="宋体"/>
                      <w:color w:val="000000" w:themeColor="text1"/>
                      <w:szCs w:val="21"/>
                      <w:highlight w:val="none"/>
                      <w14:textFill>
                        <w14:solidFill>
                          <w14:schemeClr w14:val="tx1"/>
                        </w14:solidFill>
                      </w14:textFill>
                    </w:rPr>
                    <w:t>占地面积</w:t>
                  </w:r>
                  <w:r>
                    <w:rPr>
                      <w:rFonts w:hint="eastAsia" w:ascii="Times New Roman" w:hAnsi="Times New Roman" w:eastAsia="宋体"/>
                      <w:color w:val="000000" w:themeColor="text1"/>
                      <w:szCs w:val="21"/>
                      <w:highlight w:val="none"/>
                      <w:lang w:val="en-US" w:eastAsia="zh-CN"/>
                      <w14:textFill>
                        <w14:solidFill>
                          <w14:schemeClr w14:val="tx1"/>
                        </w14:solidFill>
                      </w14:textFill>
                    </w:rPr>
                    <w:t>12500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14:textFill>
                        <w14:solidFill>
                          <w14:schemeClr w14:val="tx1"/>
                        </w14:solidFill>
                      </w14:textFill>
                    </w:rPr>
                    <w:t>2</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内设</w:t>
                  </w:r>
                  <w:r>
                    <w:rPr>
                      <w:rFonts w:hint="eastAsia" w:ascii="Times New Roman" w:hAnsi="Times New Roman" w:eastAsia="宋体"/>
                      <w:color w:val="000000" w:themeColor="text1"/>
                      <w:szCs w:val="21"/>
                      <w:highlight w:val="none"/>
                      <w14:textFill>
                        <w14:solidFill>
                          <w14:schemeClr w14:val="tx1"/>
                        </w14:solidFill>
                      </w14:textFill>
                    </w:rPr>
                    <w:t>龙门吊</w:t>
                  </w:r>
                  <w:r>
                    <w:rPr>
                      <w:rFonts w:hint="eastAsia" w:ascii="Times New Roman" w:hAnsi="Times New Roman" w:eastAsia="宋体"/>
                      <w:color w:val="000000" w:themeColor="text1"/>
                      <w:szCs w:val="21"/>
                      <w:highlight w:val="none"/>
                      <w:lang w:eastAsia="zh-CN"/>
                      <w14:textFill>
                        <w14:solidFill>
                          <w14:schemeClr w14:val="tx1"/>
                        </w14:solidFill>
                      </w14:textFill>
                    </w:rPr>
                    <w:t>、智能张拉设备、智能压浆设备、自动喷淋养护系统、蒸汽发生器、发电机</w:t>
                  </w:r>
                  <w:r>
                    <w:rPr>
                      <w:rFonts w:hint="eastAsia" w:ascii="Times New Roman" w:hAnsi="Times New Roman" w:eastAsia="宋体"/>
                      <w:color w:val="000000" w:themeColor="text1"/>
                      <w:szCs w:val="21"/>
                      <w:highlight w:val="none"/>
                      <w14:textFill>
                        <w14:solidFill>
                          <w14:schemeClr w14:val="tx1"/>
                        </w14:solidFill>
                      </w14:textFill>
                    </w:rPr>
                    <w:t>等设备</w:t>
                  </w:r>
                </w:p>
              </w:tc>
              <w:tc>
                <w:tcPr>
                  <w:tcW w:w="1202" w:type="dxa"/>
                  <w:vMerge w:val="continue"/>
                  <w:vAlign w:val="center"/>
                </w:tcPr>
                <w:p w14:paraId="0B485AA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4EDA26D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178D82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48" w:hRule="atLeast"/>
                <w:jc w:val="center"/>
              </w:trPr>
              <w:tc>
                <w:tcPr>
                  <w:tcW w:w="728" w:type="dxa"/>
                  <w:vMerge w:val="restart"/>
                  <w:vAlign w:val="center"/>
                </w:tcPr>
                <w:p w14:paraId="288D8C6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储运</w:t>
                  </w:r>
                </w:p>
                <w:p w14:paraId="2245005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工程</w:t>
                  </w:r>
                </w:p>
              </w:tc>
              <w:tc>
                <w:tcPr>
                  <w:tcW w:w="930" w:type="dxa"/>
                  <w:vMerge w:val="restart"/>
                  <w:vAlign w:val="center"/>
                </w:tcPr>
                <w:p w14:paraId="28AA902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料仓</w:t>
                  </w:r>
                </w:p>
              </w:tc>
              <w:tc>
                <w:tcPr>
                  <w:tcW w:w="4223" w:type="dxa"/>
                  <w:vAlign w:val="center"/>
                </w:tcPr>
                <w:p w14:paraId="1C87FFA3">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混凝土</w:t>
                  </w: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拌和站</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砂石料仓位于厂区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东</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侧</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，钢结构，高度</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m，长</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48</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m，宽</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60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m，设置三面围挡加彩钢顶棚和喷雾抑尘装置</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。共间隔</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配置</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原料储</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仓，</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号储仓储</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存量</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00t</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同时在混凝土</w:t>
                  </w: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拌和站</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工作区</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每条机组</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配备</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骨料砂石</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料斗</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5</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共</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设置三面围挡加彩钢顶棚，可按产量自动配料，通过传送带送往搅拌楼。</w:t>
                  </w:r>
                </w:p>
              </w:tc>
              <w:tc>
                <w:tcPr>
                  <w:tcW w:w="1202" w:type="dxa"/>
                  <w:vMerge w:val="continue"/>
                  <w:vAlign w:val="center"/>
                </w:tcPr>
                <w:p w14:paraId="672C08D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restart"/>
                  <w:vAlign w:val="center"/>
                </w:tcPr>
                <w:p w14:paraId="7757BDE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p>
              </w:tc>
            </w:tr>
            <w:tr w14:paraId="17A670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48" w:hRule="atLeast"/>
                <w:jc w:val="center"/>
              </w:trPr>
              <w:tc>
                <w:tcPr>
                  <w:tcW w:w="728" w:type="dxa"/>
                  <w:vMerge w:val="continue"/>
                  <w:vAlign w:val="center"/>
                </w:tcPr>
                <w:p w14:paraId="44531E1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19A1D4E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17F4EF6F">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水稳站</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砂石料仓位于厂区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东北</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侧</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，钢结构，高度</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m，长</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m，宽</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m，设置三面围挡加彩钢顶棚和喷雾抑尘装置</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。共间隔</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配置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7</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原料储</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仓，</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7</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号储仓储</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存量</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00t</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同时在</w:t>
                  </w: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水稳拌和站</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工作区</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每条机组</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配备</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骨料砂石</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料斗</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设置三面围挡加彩钢顶棚，可按产量自动配料，通过传送带送往搅拌楼。</w:t>
                  </w:r>
                </w:p>
              </w:tc>
              <w:tc>
                <w:tcPr>
                  <w:tcW w:w="1202" w:type="dxa"/>
                  <w:vMerge w:val="continue"/>
                  <w:vAlign w:val="center"/>
                </w:tcPr>
                <w:p w14:paraId="6142B85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continue"/>
                  <w:vAlign w:val="center"/>
                </w:tcPr>
                <w:p w14:paraId="5647858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r>
            <w:tr w14:paraId="081AC1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48" w:hRule="atLeast"/>
                <w:jc w:val="center"/>
              </w:trPr>
              <w:tc>
                <w:tcPr>
                  <w:tcW w:w="728" w:type="dxa"/>
                  <w:vMerge w:val="continue"/>
                  <w:vAlign w:val="center"/>
                </w:tcPr>
                <w:p w14:paraId="1AAF93AA">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color w:val="000000" w:themeColor="text1"/>
                      <w:highlight w:val="none"/>
                      <w14:textFill>
                        <w14:solidFill>
                          <w14:schemeClr w14:val="tx1"/>
                        </w14:solidFill>
                      </w14:textFill>
                    </w:rPr>
                  </w:pPr>
                </w:p>
              </w:tc>
              <w:tc>
                <w:tcPr>
                  <w:tcW w:w="930" w:type="dxa"/>
                  <w:vMerge w:val="continue"/>
                  <w:vAlign w:val="center"/>
                </w:tcPr>
                <w:p w14:paraId="0878979F">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color w:val="000000" w:themeColor="text1"/>
                      <w:highlight w:val="none"/>
                      <w14:textFill>
                        <w14:solidFill>
                          <w14:schemeClr w14:val="tx1"/>
                        </w14:solidFill>
                      </w14:textFill>
                    </w:rPr>
                  </w:pPr>
                </w:p>
              </w:tc>
              <w:tc>
                <w:tcPr>
                  <w:tcW w:w="4223" w:type="dxa"/>
                  <w:vAlign w:val="center"/>
                </w:tcPr>
                <w:p w14:paraId="1BAD71E8">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碎石加工区配料区</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位于厂区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西北</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侧</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，钢结构，高度</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10</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m，长</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34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m，宽</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m，设置三面围挡加彩钢顶棚和喷雾抑尘装置</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。共间隔</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配置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座</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原料储</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仓，</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号储仓储</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存量</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00t</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p>
              </w:tc>
              <w:tc>
                <w:tcPr>
                  <w:tcW w:w="1202" w:type="dxa"/>
                  <w:vMerge w:val="continue"/>
                  <w:vAlign w:val="center"/>
                </w:tcPr>
                <w:p w14:paraId="100ED25B">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p>
              </w:tc>
              <w:tc>
                <w:tcPr>
                  <w:tcW w:w="958" w:type="dxa"/>
                  <w:vMerge w:val="continue"/>
                  <w:vAlign w:val="center"/>
                </w:tcPr>
                <w:p w14:paraId="5B79A585">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p>
              </w:tc>
            </w:tr>
            <w:tr w14:paraId="6DB2A4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728" w:type="dxa"/>
                  <w:vMerge w:val="continue"/>
                  <w:vAlign w:val="center"/>
                </w:tcPr>
                <w:p w14:paraId="453FCF3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30" w:type="dxa"/>
                  <w:vMerge w:val="restart"/>
                  <w:vAlign w:val="center"/>
                </w:tcPr>
                <w:p w14:paraId="29A3483E">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spacing w:val="-1"/>
                      <w:kern w:val="2"/>
                      <w:sz w:val="21"/>
                      <w:szCs w:val="21"/>
                      <w:highlight w:val="none"/>
                      <w:shd w:val="clear" w:color="auto" w:fill="auto"/>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筒仓</w:t>
                  </w:r>
                </w:p>
              </w:tc>
              <w:tc>
                <w:tcPr>
                  <w:tcW w:w="4223" w:type="dxa"/>
                  <w:vAlign w:val="center"/>
                </w:tcPr>
                <w:p w14:paraId="497CC90B">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kern w:val="2"/>
                      <w:sz w:val="21"/>
                      <w:szCs w:val="21"/>
                      <w:highlight w:val="none"/>
                      <w:shd w:val="clear" w:color="auto" w:fill="auto"/>
                      <w:lang w:val="en-US" w:eastAsia="zh-CN" w:bidi="ar-SA"/>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混凝土</w:t>
                  </w: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拌和站</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每条机组设置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00t水泥筒仓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00t水泥筒仓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，100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t</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矿粉</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2个</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，高度2</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拌合楼</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均</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为框架结构，高度</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13.7</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1#机组、2#机组各设置10t外加剂储罐</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6</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w:t>
                  </w:r>
                </w:p>
              </w:tc>
              <w:tc>
                <w:tcPr>
                  <w:tcW w:w="1202" w:type="dxa"/>
                  <w:vMerge w:val="continue"/>
                  <w:vAlign w:val="center"/>
                </w:tcPr>
                <w:p w14:paraId="1332BD9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restart"/>
                  <w:vAlign w:val="center"/>
                </w:tcPr>
                <w:p w14:paraId="6E6368B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p>
              </w:tc>
            </w:tr>
            <w:tr w14:paraId="79BD4B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728" w:type="dxa"/>
                  <w:vMerge w:val="continue"/>
                  <w:vAlign w:val="center"/>
                </w:tcPr>
                <w:p w14:paraId="63264571">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color w:val="000000" w:themeColor="text1"/>
                      <w:highlight w:val="none"/>
                      <w14:textFill>
                        <w14:solidFill>
                          <w14:schemeClr w14:val="tx1"/>
                        </w14:solidFill>
                      </w14:textFill>
                    </w:rPr>
                  </w:pPr>
                </w:p>
              </w:tc>
              <w:tc>
                <w:tcPr>
                  <w:tcW w:w="930" w:type="dxa"/>
                  <w:vMerge w:val="continue"/>
                  <w:vAlign w:val="center"/>
                </w:tcPr>
                <w:p w14:paraId="69F3F726">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color w:val="000000" w:themeColor="text1"/>
                      <w:highlight w:val="none"/>
                      <w14:textFill>
                        <w14:solidFill>
                          <w14:schemeClr w14:val="tx1"/>
                        </w14:solidFill>
                      </w14:textFill>
                    </w:rPr>
                  </w:pPr>
                </w:p>
              </w:tc>
              <w:tc>
                <w:tcPr>
                  <w:tcW w:w="4223" w:type="dxa"/>
                  <w:vAlign w:val="center"/>
                </w:tcPr>
                <w:p w14:paraId="34E5F206">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水稳拌和站设置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00t水泥筒仓</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高度2</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0</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拌合楼</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均</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为框架结构，高度</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13.7</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p>
              </w:tc>
              <w:tc>
                <w:tcPr>
                  <w:tcW w:w="1202" w:type="dxa"/>
                  <w:vMerge w:val="continue"/>
                  <w:vAlign w:val="center"/>
                </w:tcPr>
                <w:p w14:paraId="6953B62C">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p>
              </w:tc>
              <w:tc>
                <w:tcPr>
                  <w:tcW w:w="958" w:type="dxa"/>
                  <w:vMerge w:val="continue"/>
                  <w:vAlign w:val="center"/>
                </w:tcPr>
                <w:p w14:paraId="28C23A9D">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p>
              </w:tc>
            </w:tr>
            <w:tr w14:paraId="725EAA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728" w:type="dxa"/>
                  <w:vMerge w:val="continue"/>
                  <w:vAlign w:val="center"/>
                </w:tcPr>
                <w:p w14:paraId="5A436B1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930" w:type="dxa"/>
                  <w:vMerge w:val="restart"/>
                  <w:vAlign w:val="center"/>
                </w:tcPr>
                <w:p w14:paraId="28998427">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储水罐</w:t>
                  </w:r>
                </w:p>
              </w:tc>
              <w:tc>
                <w:tcPr>
                  <w:tcW w:w="4223" w:type="dxa"/>
                  <w:vAlign w:val="center"/>
                </w:tcPr>
                <w:p w14:paraId="07DB4264">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拌和区内设置</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6个10</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蓄水桶，1个50t储水罐用于储存生产用水，此外设疑1个150</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蓄水池。1#机组、2#机组共用6个10</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蓄水桶，1个50t储水罐。</w:t>
                  </w:r>
                </w:p>
              </w:tc>
              <w:tc>
                <w:tcPr>
                  <w:tcW w:w="1202" w:type="dxa"/>
                  <w:vMerge w:val="continue"/>
                  <w:vAlign w:val="center"/>
                </w:tcPr>
                <w:p w14:paraId="2025AF4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Merge w:val="restart"/>
                  <w:vAlign w:val="center"/>
                </w:tcPr>
                <w:p w14:paraId="6F3190D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D2BCF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728" w:type="dxa"/>
                  <w:vMerge w:val="continue"/>
                  <w:vAlign w:val="center"/>
                </w:tcPr>
                <w:p w14:paraId="40F7FCAC">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color w:val="000000" w:themeColor="text1"/>
                      <w:highlight w:val="none"/>
                      <w14:textFill>
                        <w14:solidFill>
                          <w14:schemeClr w14:val="tx1"/>
                        </w14:solidFill>
                      </w14:textFill>
                    </w:rPr>
                  </w:pPr>
                </w:p>
              </w:tc>
              <w:tc>
                <w:tcPr>
                  <w:tcW w:w="930" w:type="dxa"/>
                  <w:vMerge w:val="continue"/>
                  <w:vAlign w:val="center"/>
                </w:tcPr>
                <w:p w14:paraId="1674DAE1">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color w:val="000000" w:themeColor="text1"/>
                      <w:highlight w:val="none"/>
                      <w14:textFill>
                        <w14:solidFill>
                          <w14:schemeClr w14:val="tx1"/>
                        </w14:solidFill>
                      </w14:textFill>
                    </w:rPr>
                  </w:pPr>
                </w:p>
              </w:tc>
              <w:tc>
                <w:tcPr>
                  <w:tcW w:w="4223" w:type="dxa"/>
                  <w:vAlign w:val="center"/>
                </w:tcPr>
                <w:p w14:paraId="6EF8FC46">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pPr>
                  <w:r>
                    <w:rPr>
                      <w:rFonts w:hint="eastAsia"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水稳拌和站设置</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个10</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t</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蓄水桶</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w:t>
                  </w:r>
                </w:p>
              </w:tc>
              <w:tc>
                <w:tcPr>
                  <w:tcW w:w="1202" w:type="dxa"/>
                  <w:vMerge w:val="continue"/>
                  <w:vAlign w:val="center"/>
                </w:tcPr>
                <w:p w14:paraId="1A4686B8">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pPr>
                </w:p>
              </w:tc>
              <w:tc>
                <w:tcPr>
                  <w:tcW w:w="958" w:type="dxa"/>
                  <w:vMerge w:val="continue"/>
                  <w:vAlign w:val="center"/>
                </w:tcPr>
                <w:p w14:paraId="4807D023">
                  <w:pPr>
                    <w:pStyle w:val="54"/>
                    <w:keepNext w:val="0"/>
                    <w:keepLines w:val="0"/>
                    <w:pageBreakBefore w:val="0"/>
                    <w:widowControl w:val="0"/>
                    <w:kinsoku/>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pPr>
                </w:p>
              </w:tc>
            </w:tr>
            <w:tr w14:paraId="45702D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0FC1FB4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4A7B599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钢筋</w:t>
                  </w:r>
                </w:p>
                <w:p w14:paraId="4BA9760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堆放</w:t>
                  </w:r>
                  <w:r>
                    <w:rPr>
                      <w:rFonts w:hint="eastAsia" w:ascii="Times New Roman" w:hAnsi="Times New Roman" w:eastAsia="宋体"/>
                      <w:color w:val="000000" w:themeColor="text1"/>
                      <w:szCs w:val="21"/>
                      <w:highlight w:val="none"/>
                      <w:lang w:eastAsia="zh-CN"/>
                      <w14:textFill>
                        <w14:solidFill>
                          <w14:schemeClr w14:val="tx1"/>
                        </w14:solidFill>
                      </w14:textFill>
                    </w:rPr>
                    <w:t>区</w:t>
                  </w:r>
                </w:p>
              </w:tc>
              <w:tc>
                <w:tcPr>
                  <w:tcW w:w="4223" w:type="dxa"/>
                  <w:vAlign w:val="center"/>
                </w:tcPr>
                <w:p w14:paraId="028BC2C8">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钢筋原料堆放及成品堆放于</w:t>
                  </w:r>
                  <w:r>
                    <w:rPr>
                      <w:rFonts w:hint="eastAsia" w:ascii="Times New Roman" w:hAnsi="Times New Roman" w:eastAsia="宋体"/>
                      <w:color w:val="000000" w:themeColor="text1"/>
                      <w:szCs w:val="21"/>
                      <w:highlight w:val="none"/>
                      <w:lang w:eastAsia="zh-CN"/>
                      <w14:textFill>
                        <w14:solidFill>
                          <w14:schemeClr w14:val="tx1"/>
                        </w14:solidFill>
                      </w14:textFill>
                    </w:rPr>
                    <w:t>钢筋加工场内。钢筋模板堆放于制梁厂钢筋模架区。</w:t>
                  </w:r>
                </w:p>
              </w:tc>
              <w:tc>
                <w:tcPr>
                  <w:tcW w:w="1202" w:type="dxa"/>
                  <w:vMerge w:val="continue"/>
                  <w:vAlign w:val="center"/>
                </w:tcPr>
                <w:p w14:paraId="6DDD956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0E8302F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33169D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235BFBC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2B2F060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预制梁</w:t>
                  </w:r>
                </w:p>
                <w:p w14:paraId="256C99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堆放区</w:t>
                  </w:r>
                </w:p>
              </w:tc>
              <w:tc>
                <w:tcPr>
                  <w:tcW w:w="4223" w:type="dxa"/>
                  <w:vAlign w:val="center"/>
                </w:tcPr>
                <w:p w14:paraId="6F739520">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堆放于预制梁厂内存梁、养护区。</w:t>
                  </w:r>
                </w:p>
              </w:tc>
              <w:tc>
                <w:tcPr>
                  <w:tcW w:w="1202" w:type="dxa"/>
                  <w:vMerge w:val="continue"/>
                  <w:vAlign w:val="center"/>
                </w:tcPr>
                <w:p w14:paraId="051AC90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14B993F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724723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restart"/>
                  <w:vAlign w:val="center"/>
                </w:tcPr>
                <w:p w14:paraId="046CF97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公用</w:t>
                  </w:r>
                </w:p>
                <w:p w14:paraId="41B88B4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工程</w:t>
                  </w:r>
                </w:p>
              </w:tc>
              <w:tc>
                <w:tcPr>
                  <w:tcW w:w="930" w:type="dxa"/>
                  <w:vAlign w:val="center"/>
                </w:tcPr>
                <w:p w14:paraId="56FB048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给水</w:t>
                  </w:r>
                </w:p>
              </w:tc>
              <w:tc>
                <w:tcPr>
                  <w:tcW w:w="4223" w:type="dxa"/>
                  <w:vAlign w:val="center"/>
                </w:tcPr>
                <w:p w14:paraId="09F7091B">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生活用水为市政供水，生产用水</w:t>
                  </w:r>
                  <w:r>
                    <w:rPr>
                      <w:rFonts w:hint="eastAsia" w:ascii="Times New Roman" w:hAnsi="Times New Roman" w:eastAsia="宋体"/>
                      <w:color w:val="000000" w:themeColor="text1"/>
                      <w:szCs w:val="21"/>
                      <w:highlight w:val="none"/>
                      <w:lang w:eastAsia="zh-CN"/>
                      <w14:textFill>
                        <w14:solidFill>
                          <w14:schemeClr w14:val="tx1"/>
                        </w14:solidFill>
                      </w14:textFill>
                    </w:rPr>
                    <w:t>为市政供水及厂区生产废水、雨水的回用</w:t>
                  </w:r>
                  <w:r>
                    <w:rPr>
                      <w:rFonts w:hint="eastAsia" w:ascii="Times New Roman" w:hAnsi="Times New Roman" w:eastAsia="宋体"/>
                      <w:color w:val="000000" w:themeColor="text1"/>
                      <w:szCs w:val="21"/>
                      <w:highlight w:val="none"/>
                      <w14:textFill>
                        <w14:solidFill>
                          <w14:schemeClr w14:val="tx1"/>
                        </w14:solidFill>
                      </w14:textFill>
                    </w:rPr>
                    <w:t>。</w:t>
                  </w:r>
                </w:p>
              </w:tc>
              <w:tc>
                <w:tcPr>
                  <w:tcW w:w="1202" w:type="dxa"/>
                  <w:vMerge w:val="continue"/>
                  <w:vAlign w:val="center"/>
                </w:tcPr>
                <w:p w14:paraId="38DBDF6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5898C71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414642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2FFD641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55DCEF4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排水</w:t>
                  </w:r>
                </w:p>
              </w:tc>
              <w:tc>
                <w:tcPr>
                  <w:tcW w:w="4223" w:type="dxa"/>
                  <w:vAlign w:val="center"/>
                </w:tcPr>
                <w:p w14:paraId="6A93C225">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雨污分流，</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厕所</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污水经</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设置</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0m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化粪池处理后，</w:t>
                  </w:r>
                  <w:r>
                    <w:rPr>
                      <w:rFonts w:hint="eastAsia" w:ascii="Times New Roman" w:hAnsi="Times New Roman" w:eastAsia="宋体" w:cs="Times New Roman"/>
                      <w:color w:val="000000" w:themeColor="text1"/>
                      <w:spacing w:val="-1"/>
                      <w:sz w:val="21"/>
                      <w:szCs w:val="21"/>
                      <w:highlight w:val="none"/>
                      <w:lang w:eastAsia="zh-CN"/>
                      <w14:textFill>
                        <w14:solidFill>
                          <w14:schemeClr w14:val="tx1"/>
                        </w14:solidFill>
                      </w14:textFill>
                    </w:rPr>
                    <w:t>排放</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至</w:t>
                  </w:r>
                  <w:r>
                    <w:rPr>
                      <w:rFonts w:hint="eastAsia" w:ascii="Times New Roman" w:hAnsi="Times New Roman" w:eastAsia="宋体" w:cs="Times New Roman"/>
                      <w:color w:val="000000" w:themeColor="text1"/>
                      <w:spacing w:val="-1"/>
                      <w:sz w:val="21"/>
                      <w:szCs w:val="21"/>
                      <w:highlight w:val="none"/>
                      <w:lang w:eastAsia="zh-CN"/>
                      <w14:textFill>
                        <w14:solidFill>
                          <w14:schemeClr w14:val="tx1"/>
                        </w14:solidFill>
                      </w14:textFill>
                    </w:rPr>
                    <w:t>宝梵</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污水处理厂进行处理</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eastAsia="zh-CN"/>
                      <w14:textFill>
                        <w14:solidFill>
                          <w14:schemeClr w14:val="tx1"/>
                        </w14:solidFill>
                      </w14:textFill>
                    </w:rPr>
                    <w:t>站区内沿生产机组边界设置排水沟，污水经收集后流入一座</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16</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m*3m倾斜式五级沉淀池</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（有效容积约200</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lang w:val="en-US" w:eastAsia="zh-CN"/>
                      <w14:textFill>
                        <w14:solidFill>
                          <w14:schemeClr w14:val="tx1"/>
                        </w14:solidFill>
                      </w14:textFill>
                    </w:rPr>
                    <w:t>，车辆冲洗废水、罐车冲洗废水、场地冲洗废水均经沉淀处理后用于洒水抑尘</w:t>
                  </w:r>
                  <w:r>
                    <w:rPr>
                      <w:rFonts w:hint="eastAsia" w:ascii="宋体" w:hAnsi="宋体" w:eastAsia="宋体"/>
                      <w:color w:val="000000" w:themeColor="text1"/>
                      <w:spacing w:val="-3"/>
                      <w:sz w:val="21"/>
                      <w:szCs w:val="24"/>
                      <w:highlight w:val="none"/>
                      <w:lang w:eastAsia="zh-CN"/>
                      <w14:textFill>
                        <w14:solidFill>
                          <w14:schemeClr w14:val="tx1"/>
                        </w14:solidFill>
                      </w14:textFill>
                    </w:rPr>
                    <w:t>及清洗用水</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t>
                  </w:r>
                </w:p>
              </w:tc>
              <w:tc>
                <w:tcPr>
                  <w:tcW w:w="1202" w:type="dxa"/>
                  <w:vMerge w:val="continue"/>
                  <w:vAlign w:val="center"/>
                </w:tcPr>
                <w:p w14:paraId="3BED587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51B6BAE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污泥</w:t>
                  </w:r>
                </w:p>
              </w:tc>
            </w:tr>
            <w:tr w14:paraId="43271A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74BE8F1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4933A9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供电</w:t>
                  </w:r>
                </w:p>
              </w:tc>
              <w:tc>
                <w:tcPr>
                  <w:tcW w:w="4223" w:type="dxa"/>
                  <w:vAlign w:val="center"/>
                </w:tcPr>
                <w:p w14:paraId="327E624F">
                  <w:pPr>
                    <w:keepNext w:val="0"/>
                    <w:keepLines w:val="0"/>
                    <w:pageBreakBefore w:val="0"/>
                    <w:widowControl w:val="0"/>
                    <w:kinsoku/>
                    <w:wordWrap w:val="0"/>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由附近市政电网供电</w:t>
                  </w:r>
                  <w:r>
                    <w:rPr>
                      <w:rFonts w:ascii="Times New Roman" w:hAnsi="Times New Roman" w:eastAsia="宋体"/>
                      <w:color w:val="000000" w:themeColor="text1"/>
                      <w:szCs w:val="21"/>
                      <w:highlight w:val="none"/>
                      <w14:textFill>
                        <w14:solidFill>
                          <w14:schemeClr w14:val="tx1"/>
                        </w14:solidFill>
                      </w14:textFill>
                    </w:rPr>
                    <w:t>。</w:t>
                  </w:r>
                </w:p>
              </w:tc>
              <w:tc>
                <w:tcPr>
                  <w:tcW w:w="1202" w:type="dxa"/>
                  <w:vMerge w:val="continue"/>
                  <w:vAlign w:val="center"/>
                </w:tcPr>
                <w:p w14:paraId="24C8BB3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398031C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38A453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58" w:type="dxa"/>
                  <w:gridSpan w:val="2"/>
                  <w:vAlign w:val="center"/>
                </w:tcPr>
                <w:p w14:paraId="00A2773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办公及生活设施</w:t>
                  </w:r>
                </w:p>
              </w:tc>
              <w:tc>
                <w:tcPr>
                  <w:tcW w:w="4223" w:type="dxa"/>
                  <w:vAlign w:val="center"/>
                </w:tcPr>
                <w:p w14:paraId="08651253">
                  <w:pPr>
                    <w:keepNext w:val="0"/>
                    <w:keepLines w:val="0"/>
                    <w:pageBreakBefore w:val="0"/>
                    <w:widowControl w:val="0"/>
                    <w:kinsoku/>
                    <w:overflowPunct/>
                    <w:topLinePunct w:val="0"/>
                    <w:autoSpaceDE/>
                    <w:autoSpaceDN/>
                    <w:bidi w:val="0"/>
                    <w:adjustRightInd w:val="0"/>
                    <w:snapToGrid w:val="0"/>
                    <w:spacing w:line="240" w:lineRule="auto"/>
                    <w:ind w:firstLine="208"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框架结构，高度3m，总面积约</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223</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包含</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功能室为</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站长室、调度室、磅房、</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混凝土室、</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力学</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室、</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标样</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室、</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会议室</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标样</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室</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房间建筑面积约</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36</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其余</w:t>
                  </w:r>
                  <w:r>
                    <w:rPr>
                      <w:rFonts w:hint="default" w:ascii="Times New Roman" w:hAnsi="Times New Roman" w:eastAsia="宋体" w:cs="Times New Roman"/>
                      <w:color w:val="000000" w:themeColor="text1"/>
                      <w:spacing w:val="-1"/>
                      <w:sz w:val="21"/>
                      <w:szCs w:val="21"/>
                      <w:highlight w:val="none"/>
                      <w:shd w:val="clear" w:color="auto" w:fill="auto"/>
                      <w:lang w:eastAsia="zh-CN"/>
                      <w14:textFill>
                        <w14:solidFill>
                          <w14:schemeClr w14:val="tx1"/>
                        </w14:solidFill>
                      </w14:textFill>
                    </w:rPr>
                    <w:t>每个房间建筑面积约</w:t>
                  </w:r>
                  <w:r>
                    <w:rPr>
                      <w:rFonts w:hint="default"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18m</w:t>
                  </w:r>
                  <w:r>
                    <w:rPr>
                      <w:rFonts w:hint="default" w:ascii="Times New Roman" w:hAnsi="Times New Roman" w:eastAsia="宋体" w:cs="Times New Roman"/>
                      <w:color w:val="000000" w:themeColor="text1"/>
                      <w:spacing w:val="-1"/>
                      <w:sz w:val="21"/>
                      <w:szCs w:val="21"/>
                      <w:highlight w:val="none"/>
                      <w:shd w:val="clear" w:color="auto" w:fill="auto"/>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。提供试验检测和指挥办公活动，位于厂区</w:t>
                  </w:r>
                  <w:r>
                    <w:rPr>
                      <w:rFonts w:hint="eastAsia" w:ascii="Times New Roman" w:hAnsi="Times New Roman" w:eastAsia="宋体" w:cs="Times New Roman"/>
                      <w:color w:val="000000" w:themeColor="text1"/>
                      <w:spacing w:val="-1"/>
                      <w:sz w:val="21"/>
                      <w:szCs w:val="21"/>
                      <w:highlight w:val="none"/>
                      <w:shd w:val="clear" w:color="auto" w:fill="auto"/>
                      <w:lang w:val="en-US" w:eastAsia="zh-CN"/>
                      <w14:textFill>
                        <w14:solidFill>
                          <w14:schemeClr w14:val="tx1"/>
                        </w14:solidFill>
                      </w14:textFill>
                    </w:rPr>
                    <w:t>右侧</w:t>
                  </w:r>
                  <w:r>
                    <w:rPr>
                      <w:rFonts w:hint="default" w:ascii="Times New Roman" w:hAnsi="Times New Roman" w:eastAsia="宋体" w:cs="Times New Roman"/>
                      <w:color w:val="000000" w:themeColor="text1"/>
                      <w:spacing w:val="-1"/>
                      <w:sz w:val="21"/>
                      <w:szCs w:val="21"/>
                      <w:highlight w:val="none"/>
                      <w:shd w:val="clear" w:color="auto" w:fill="auto"/>
                      <w14:textFill>
                        <w14:solidFill>
                          <w14:schemeClr w14:val="tx1"/>
                        </w14:solidFill>
                      </w14:textFill>
                    </w:rPr>
                    <w:t>。</w:t>
                  </w:r>
                </w:p>
              </w:tc>
              <w:tc>
                <w:tcPr>
                  <w:tcW w:w="1202" w:type="dxa"/>
                  <w:vMerge w:val="continue"/>
                  <w:vAlign w:val="center"/>
                </w:tcPr>
                <w:p w14:paraId="373EBC8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7F01FE4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生活垃圾</w:t>
                  </w:r>
                </w:p>
              </w:tc>
            </w:tr>
            <w:tr w14:paraId="2221CD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restart"/>
                  <w:vAlign w:val="center"/>
                </w:tcPr>
                <w:p w14:paraId="23D8368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环保</w:t>
                  </w:r>
                </w:p>
                <w:p w14:paraId="37B2CA4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工程</w:t>
                  </w:r>
                </w:p>
              </w:tc>
              <w:tc>
                <w:tcPr>
                  <w:tcW w:w="930" w:type="dxa"/>
                  <w:vMerge w:val="restart"/>
                  <w:vAlign w:val="center"/>
                </w:tcPr>
                <w:p w14:paraId="32FFDA7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废气</w:t>
                  </w:r>
                </w:p>
              </w:tc>
              <w:tc>
                <w:tcPr>
                  <w:tcW w:w="4223" w:type="dxa"/>
                  <w:vAlign w:val="center"/>
                </w:tcPr>
                <w:p w14:paraId="6CEBAB3F">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原料堆场粉尘：</w:t>
                  </w:r>
                  <w:r>
                    <w:rPr>
                      <w:rFonts w:ascii="Times New Roman" w:hAnsi="Times New Roman" w:eastAsia="宋体"/>
                      <w:color w:val="000000" w:themeColor="text1"/>
                      <w:szCs w:val="21"/>
                      <w:highlight w:val="none"/>
                      <w:lang w:bidi="ar"/>
                      <w14:textFill>
                        <w14:solidFill>
                          <w14:schemeClr w14:val="tx1"/>
                        </w14:solidFill>
                      </w14:textFill>
                    </w:rPr>
                    <w:t>降低物料落差，厂房封闭，并在厂房</w:t>
                  </w:r>
                  <w:r>
                    <w:rPr>
                      <w:rFonts w:hint="eastAsia" w:ascii="Times New Roman" w:hAnsi="Times New Roman" w:eastAsia="宋体"/>
                      <w:color w:val="000000" w:themeColor="text1"/>
                      <w:szCs w:val="21"/>
                      <w:highlight w:val="none"/>
                      <w:lang w:eastAsia="zh-CN" w:bidi="ar"/>
                      <w14:textFill>
                        <w14:solidFill>
                          <w14:schemeClr w14:val="tx1"/>
                        </w14:solidFill>
                      </w14:textFill>
                    </w:rPr>
                    <w:t>设置网格式</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（除尘效率70%）</w:t>
                  </w:r>
                  <w:r>
                    <w:rPr>
                      <w:rFonts w:ascii="Times New Roman" w:hAnsi="Times New Roman" w:eastAsia="宋体"/>
                      <w:color w:val="000000" w:themeColor="text1"/>
                      <w:szCs w:val="21"/>
                      <w:highlight w:val="none"/>
                      <w:lang w:bidi="ar"/>
                      <w14:textFill>
                        <w14:solidFill>
                          <w14:schemeClr w14:val="tx1"/>
                        </w14:solidFill>
                      </w14:textFill>
                    </w:rPr>
                    <w:t>，在装卸时开启喷淋装置</w:t>
                  </w:r>
                </w:p>
              </w:tc>
              <w:tc>
                <w:tcPr>
                  <w:tcW w:w="1202" w:type="dxa"/>
                  <w:vAlign w:val="center"/>
                </w:tcPr>
                <w:p w14:paraId="2709861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BF6F01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5A9EC0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FED40D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18AE652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177D0C09">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破碎、筛分粉尘：</w:t>
                  </w:r>
                  <w:r>
                    <w:rPr>
                      <w:rFonts w:ascii="Times New Roman" w:hAnsi="Times New Roman" w:eastAsia="宋体"/>
                      <w:color w:val="000000" w:themeColor="text1"/>
                      <w:szCs w:val="21"/>
                      <w:highlight w:val="none"/>
                      <w:lang w:bidi="ar"/>
                      <w14:textFill>
                        <w14:solidFill>
                          <w14:schemeClr w14:val="tx1"/>
                        </w14:solidFill>
                      </w14:textFill>
                    </w:rPr>
                    <w:t>密闭厂房</w:t>
                  </w:r>
                  <w:r>
                    <w:rPr>
                      <w:rFonts w:hint="eastAsia" w:ascii="Times New Roman" w:hAnsi="Times New Roman" w:eastAsia="宋体"/>
                      <w:color w:val="000000" w:themeColor="text1"/>
                      <w:szCs w:val="21"/>
                      <w:highlight w:val="none"/>
                      <w:lang w:bidi="ar"/>
                      <w14:textFill>
                        <w14:solidFill>
                          <w14:schemeClr w14:val="tx1"/>
                        </w14:solidFill>
                      </w14:textFill>
                    </w:rPr>
                    <w:t>、湿法作业（粉尘产生效率减少21%）、</w:t>
                  </w:r>
                  <w:r>
                    <w:rPr>
                      <w:rFonts w:hint="eastAsia" w:ascii="Times New Roman" w:hAnsi="Times New Roman" w:eastAsia="宋体"/>
                      <w:color w:val="000000" w:themeColor="text1"/>
                      <w:szCs w:val="21"/>
                      <w:highlight w:val="none"/>
                      <w:lang w:eastAsia="zh-CN" w:bidi="ar"/>
                      <w14:textFill>
                        <w14:solidFill>
                          <w14:schemeClr w14:val="tx1"/>
                        </w14:solidFill>
                      </w14:textFill>
                    </w:rPr>
                    <w:t>设置网格式</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（除尘效率70%）、布袋除尘器（处理效率9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1202" w:type="dxa"/>
                  <w:vAlign w:val="center"/>
                </w:tcPr>
                <w:p w14:paraId="5EA1EBC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23CB7E1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68BCB8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67261E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3274181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07D7D5AF">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骨料输送粉尘：</w:t>
                  </w:r>
                  <w:r>
                    <w:rPr>
                      <w:rFonts w:ascii="Times New Roman" w:hAnsi="Times New Roman" w:eastAsia="宋体"/>
                      <w:color w:val="000000" w:themeColor="text1"/>
                      <w:szCs w:val="21"/>
                      <w:highlight w:val="none"/>
                      <w:lang w:bidi="ar"/>
                      <w14:textFill>
                        <w14:solidFill>
                          <w14:schemeClr w14:val="tx1"/>
                        </w14:solidFill>
                      </w14:textFill>
                    </w:rPr>
                    <w:t>密闭的输送廊道，并在皮带输送进料口设置喷淋抑尘装置</w:t>
                  </w:r>
                </w:p>
              </w:tc>
              <w:tc>
                <w:tcPr>
                  <w:tcW w:w="1202" w:type="dxa"/>
                  <w:vAlign w:val="center"/>
                </w:tcPr>
                <w:p w14:paraId="51F152C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4081771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3ECBC7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95266D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706BF57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4ACA697E">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储料罐</w:t>
                  </w:r>
                  <w:r>
                    <w:rPr>
                      <w:rFonts w:hint="eastAsia" w:ascii="Times New Roman" w:hAnsi="Times New Roman" w:eastAsia="宋体"/>
                      <w:color w:val="000000" w:themeColor="text1"/>
                      <w:szCs w:val="21"/>
                      <w:highlight w:val="none"/>
                      <w:lang w:eastAsia="zh-CN"/>
                      <w14:textFill>
                        <w14:solidFill>
                          <w14:schemeClr w14:val="tx1"/>
                        </w14:solidFill>
                      </w14:textFill>
                    </w:rPr>
                    <w:t>位于混凝土拌和站内，共设置</w:t>
                  </w:r>
                  <w:r>
                    <w:rPr>
                      <w:rFonts w:hint="eastAsia" w:ascii="Times New Roman" w:hAnsi="Times New Roman" w:eastAsia="宋体"/>
                      <w:color w:val="000000" w:themeColor="text1"/>
                      <w:szCs w:val="21"/>
                      <w:highlight w:val="none"/>
                      <w:lang w:val="en-US" w:eastAsia="zh-CN"/>
                      <w14:textFill>
                        <w14:solidFill>
                          <w14:schemeClr w14:val="tx1"/>
                        </w14:solidFill>
                      </w14:textFill>
                    </w:rPr>
                    <w:t>10个储罐，各储罐仓顶</w:t>
                  </w:r>
                  <w:r>
                    <w:rPr>
                      <w:rFonts w:hint="eastAsia" w:ascii="Times New Roman" w:hAnsi="Times New Roman" w:eastAsia="宋体"/>
                      <w:color w:val="000000" w:themeColor="text1"/>
                      <w:szCs w:val="21"/>
                      <w:highlight w:val="none"/>
                      <w14:textFill>
                        <w14:solidFill>
                          <w14:schemeClr w14:val="tx1"/>
                        </w14:solidFill>
                      </w14:textFill>
                    </w:rPr>
                    <w:t>配备仓顶除尘器处理（除尘效率为99.5%）后无组织排放</w:t>
                  </w:r>
                </w:p>
              </w:tc>
              <w:tc>
                <w:tcPr>
                  <w:tcW w:w="1202" w:type="dxa"/>
                  <w:vAlign w:val="center"/>
                </w:tcPr>
                <w:p w14:paraId="30E7441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7FA7C7D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42465E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9DDA3A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5E10FEA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172C86CC">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密闭搅拌机，密闭厂房，搅拌系统配备一台布袋除尘器（收集效率</w:t>
                  </w:r>
                  <w:r>
                    <w:rPr>
                      <w:rFonts w:hint="eastAsia" w:ascii="Times New Roman" w:hAnsi="Times New Roman" w:eastAsia="宋体"/>
                      <w:color w:val="000000" w:themeColor="text1"/>
                      <w:szCs w:val="21"/>
                      <w:highlight w:val="none"/>
                      <w:lang w:val="en-US" w:eastAsia="zh-CN"/>
                      <w14:textFill>
                        <w14:solidFill>
                          <w14:schemeClr w14:val="tx1"/>
                        </w14:solidFill>
                      </w14:textFill>
                    </w:rPr>
                    <w:t>95</w:t>
                  </w:r>
                  <w:r>
                    <w:rPr>
                      <w:rFonts w:hint="eastAsia" w:ascii="Times New Roman" w:hAnsi="Times New Roman" w:eastAsia="宋体"/>
                      <w:color w:val="000000" w:themeColor="text1"/>
                      <w:szCs w:val="21"/>
                      <w:highlight w:val="none"/>
                      <w14:textFill>
                        <w14:solidFill>
                          <w14:schemeClr w14:val="tx1"/>
                        </w14:solidFill>
                      </w14:textFill>
                    </w:rPr>
                    <w:t>%，除尘效率9</w:t>
                  </w:r>
                  <w:r>
                    <w:rPr>
                      <w:rFonts w:hint="eastAsia" w:ascii="Times New Roman" w:hAnsi="Times New Roman" w:eastAsia="宋体"/>
                      <w:color w:val="000000" w:themeColor="text1"/>
                      <w:szCs w:val="21"/>
                      <w:highlight w:val="none"/>
                      <w:lang w:val="en-US" w:eastAsia="zh-CN"/>
                      <w14:textFill>
                        <w14:solidFill>
                          <w14:schemeClr w14:val="tx1"/>
                        </w14:solidFill>
                      </w14:textFill>
                    </w:rPr>
                    <w:t>9</w:t>
                  </w:r>
                  <w:r>
                    <w:rPr>
                      <w:rFonts w:hint="eastAsia" w:ascii="Times New Roman" w:hAnsi="Times New Roman" w:eastAsia="宋体"/>
                      <w:color w:val="000000" w:themeColor="text1"/>
                      <w:szCs w:val="21"/>
                      <w:highlight w:val="none"/>
                      <w14:textFill>
                        <w14:solidFill>
                          <w14:schemeClr w14:val="tx1"/>
                        </w14:solidFill>
                      </w14:textFill>
                    </w:rPr>
                    <w:t>%），安装喷淋装置洒水降尘（除尘效率70%）</w:t>
                  </w:r>
                </w:p>
              </w:tc>
              <w:tc>
                <w:tcPr>
                  <w:tcW w:w="1202" w:type="dxa"/>
                  <w:vAlign w:val="center"/>
                </w:tcPr>
                <w:p w14:paraId="626AF25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34D37DA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701FBD6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397D4C4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0393230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621D1829">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汽车运输扬尘</w:t>
                  </w:r>
                  <w:r>
                    <w:rPr>
                      <w:rFonts w:hint="eastAsia" w:ascii="Times New Roman" w:hAnsi="Times New Roman" w:eastAsia="宋体"/>
                      <w:color w:val="000000" w:themeColor="text1"/>
                      <w:szCs w:val="21"/>
                      <w:highlight w:val="none"/>
                      <w14:textFill>
                        <w14:solidFill>
                          <w14:schemeClr w14:val="tx1"/>
                        </w14:solidFill>
                      </w14:textFill>
                    </w:rPr>
                    <w:t>：运输车辆采用篷布遮盖；洒水降尘（除尘效率70%）</w:t>
                  </w:r>
                </w:p>
              </w:tc>
              <w:tc>
                <w:tcPr>
                  <w:tcW w:w="1202" w:type="dxa"/>
                  <w:vAlign w:val="center"/>
                </w:tcPr>
                <w:p w14:paraId="2E307CF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3473B4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16CF94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7255CF0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106BE7D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71E74C7A">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焊接烟尘：设置</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r>
                    <w:rPr>
                      <w:rFonts w:hint="eastAsia" w:ascii="Times New Roman" w:hAnsi="Times New Roman" w:eastAsia="宋体"/>
                      <w:color w:val="000000" w:themeColor="text1"/>
                      <w:szCs w:val="21"/>
                      <w:highlight w:val="none"/>
                      <w:lang w:eastAsia="zh-CN" w:bidi="ar"/>
                      <w14:textFill>
                        <w14:solidFill>
                          <w14:schemeClr w14:val="tx1"/>
                        </w14:solidFill>
                      </w14:textFill>
                    </w:rPr>
                    <w:t>台移动式焊烟净化器（收集效率80%，处理效率9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r>
                    <w:rPr>
                      <w:rFonts w:hint="eastAsia" w:ascii="Times New Roman" w:hAnsi="Times New Roman" w:eastAsia="宋体"/>
                      <w:color w:val="000000" w:themeColor="text1"/>
                      <w:szCs w:val="21"/>
                      <w:highlight w:val="none"/>
                      <w:lang w:eastAsia="zh-CN" w:bidi="ar"/>
                      <w14:textFill>
                        <w14:solidFill>
                          <w14:schemeClr w14:val="tx1"/>
                        </w14:solidFill>
                      </w14:textFill>
                    </w:rPr>
                    <w:t>%）</w:t>
                  </w:r>
                </w:p>
              </w:tc>
              <w:tc>
                <w:tcPr>
                  <w:tcW w:w="1202" w:type="dxa"/>
                  <w:vAlign w:val="center"/>
                </w:tcPr>
                <w:p w14:paraId="110C149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6936994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563B5B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0135813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0D77870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7F76AE98">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备用发电机：</w:t>
                  </w:r>
                  <w:r>
                    <w:rPr>
                      <w:rFonts w:hint="eastAsia" w:ascii="Times New Roman" w:hAnsi="Times New Roman" w:eastAsia="宋体"/>
                      <w:color w:val="000000" w:themeColor="text1"/>
                      <w:szCs w:val="21"/>
                      <w:highlight w:val="none"/>
                      <w:lang w:bidi="ar"/>
                      <w14:textFill>
                        <w14:solidFill>
                          <w14:schemeClr w14:val="tx1"/>
                        </w14:solidFill>
                      </w14:textFill>
                    </w:rPr>
                    <w:t>发电机自带消烟除尘处理，燃油废气经排风系统收集后经</w:t>
                  </w:r>
                  <w:r>
                    <w:rPr>
                      <w:rFonts w:hint="eastAsia" w:ascii="Times New Roman" w:hAnsi="Times New Roman" w:eastAsia="宋体"/>
                      <w:color w:val="000000" w:themeColor="text1"/>
                      <w:szCs w:val="21"/>
                      <w:highlight w:val="none"/>
                      <w:lang w:eastAsia="zh-CN" w:bidi="ar"/>
                      <w14:textFill>
                        <w14:solidFill>
                          <w14:schemeClr w14:val="tx1"/>
                        </w14:solidFill>
                      </w14:textFill>
                    </w:rPr>
                    <w:t>专用烟道排放</w:t>
                  </w:r>
                </w:p>
              </w:tc>
              <w:tc>
                <w:tcPr>
                  <w:tcW w:w="1202" w:type="dxa"/>
                  <w:vAlign w:val="center"/>
                </w:tcPr>
                <w:p w14:paraId="63392F5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B48255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1E7EAF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1CB04D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68A4C96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742269DE">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食堂油烟：</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设置</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3台</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油烟净化设备</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处理后通过烟道于屋顶排放</w:t>
                  </w:r>
                </w:p>
              </w:tc>
              <w:tc>
                <w:tcPr>
                  <w:tcW w:w="1202" w:type="dxa"/>
                  <w:vAlign w:val="center"/>
                </w:tcPr>
                <w:p w14:paraId="6600035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F3E8B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5B3596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348C866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134F31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11E637C0">
                  <w:pPr>
                    <w:keepNext w:val="0"/>
                    <w:keepLines w:val="0"/>
                    <w:pageBreakBefore w:val="0"/>
                    <w:widowControl w:val="0"/>
                    <w:kinsoku/>
                    <w:overflowPunct/>
                    <w:topLinePunct w:val="0"/>
                    <w:autoSpaceDE/>
                    <w:autoSpaceDN/>
                    <w:bidi w:val="0"/>
                    <w:adjustRightInd w:val="0"/>
                    <w:snapToGrid w:val="0"/>
                    <w:spacing w:line="240" w:lineRule="auto"/>
                    <w:ind w:firstLine="210" w:firstLineChars="100"/>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汽车尾气：地处开阔，自然扩散</w:t>
                  </w:r>
                </w:p>
              </w:tc>
              <w:tc>
                <w:tcPr>
                  <w:tcW w:w="1202" w:type="dxa"/>
                  <w:vAlign w:val="center"/>
                </w:tcPr>
                <w:p w14:paraId="2AE235D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785064F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704C00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28F05D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restart"/>
                  <w:vAlign w:val="center"/>
                </w:tcPr>
                <w:p w14:paraId="4E2E72C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废水</w:t>
                  </w:r>
                </w:p>
              </w:tc>
              <w:tc>
                <w:tcPr>
                  <w:tcW w:w="4223" w:type="dxa"/>
                  <w:vAlign w:val="center"/>
                </w:tcPr>
                <w:p w14:paraId="583582E9">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搅拌机冲洗废水</w:t>
                  </w:r>
                  <w:r>
                    <w:rPr>
                      <w:rFonts w:hint="eastAsia" w:ascii="Times New Roman" w:hAnsi="Times New Roman" w:eastAsia="宋体"/>
                      <w:color w:val="000000" w:themeColor="text1"/>
                      <w:szCs w:val="21"/>
                      <w:highlight w:val="none"/>
                      <w:lang w:eastAsia="zh-CN"/>
                      <w14:textFill>
                        <w14:solidFill>
                          <w14:schemeClr w14:val="tx1"/>
                        </w14:solidFill>
                      </w14:textFill>
                    </w:rPr>
                    <w:t>、</w:t>
                  </w:r>
                  <w:r>
                    <w:rPr>
                      <w:rFonts w:hint="eastAsia" w:ascii="Times New Roman" w:hAnsi="Times New Roman" w:eastAsia="宋体"/>
                      <w:color w:val="000000" w:themeColor="text1"/>
                      <w:szCs w:val="21"/>
                      <w:highlight w:val="none"/>
                      <w14:textFill>
                        <w14:solidFill>
                          <w14:schemeClr w14:val="tx1"/>
                        </w14:solidFill>
                      </w14:textFill>
                    </w:rPr>
                    <w:t>地坪冲洗水</w:t>
                  </w:r>
                  <w:r>
                    <w:rPr>
                      <w:rFonts w:hint="eastAsia" w:ascii="Times New Roman" w:hAnsi="Times New Roman" w:eastAsia="宋体"/>
                      <w:color w:val="000000" w:themeColor="text1"/>
                      <w:szCs w:val="21"/>
                      <w:highlight w:val="none"/>
                      <w:lang w:eastAsia="zh-CN"/>
                      <w14:textFill>
                        <w14:solidFill>
                          <w14:schemeClr w14:val="tx1"/>
                        </w14:solidFill>
                      </w14:textFill>
                    </w:rPr>
                    <w:t>、洗砂废水：</w:t>
                  </w:r>
                  <w:r>
                    <w:rPr>
                      <w:rFonts w:hint="eastAsia" w:ascii="Times New Roman" w:hAnsi="Times New Roman" w:eastAsia="宋体"/>
                      <w:color w:val="000000" w:themeColor="text1"/>
                      <w:szCs w:val="21"/>
                      <w:highlight w:val="none"/>
                      <w14:textFill>
                        <w14:solidFill>
                          <w14:schemeClr w14:val="tx1"/>
                        </w14:solidFill>
                      </w14:textFill>
                    </w:rPr>
                    <w:t>经砂石分离器</w:t>
                  </w:r>
                  <w:r>
                    <w:rPr>
                      <w:rFonts w:hint="eastAsia" w:ascii="Times New Roman" w:hAnsi="Times New Roman" w:eastAsia="宋体"/>
                      <w:color w:val="000000" w:themeColor="text1"/>
                      <w:szCs w:val="21"/>
                      <w:highlight w:val="none"/>
                      <w:lang w:eastAsia="zh-CN"/>
                      <w14:textFill>
                        <w14:solidFill>
                          <w14:schemeClr w14:val="tx1"/>
                        </w14:solidFill>
                      </w14:textFill>
                    </w:rPr>
                    <w:t>处理</w:t>
                  </w:r>
                  <w:r>
                    <w:rPr>
                      <w:rFonts w:hint="eastAsia" w:ascii="Times New Roman" w:hAnsi="Times New Roman" w:eastAsia="宋体"/>
                      <w:color w:val="000000" w:themeColor="text1"/>
                      <w:kern w:val="0"/>
                      <w:szCs w:val="21"/>
                      <w:highlight w:val="none"/>
                      <w:lang w:eastAsia="zh-CN"/>
                      <w14:textFill>
                        <w14:solidFill>
                          <w14:schemeClr w14:val="tx1"/>
                        </w14:solidFill>
                      </w14:textFill>
                    </w:rPr>
                    <w:t>后进入五级沉淀池（</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200</w:t>
                  </w:r>
                  <w:r>
                    <w:rPr>
                      <w:rFonts w:hint="eastAsia" w:ascii="Times New Roman" w:hAnsi="Times New Roman" w:eastAsia="宋体"/>
                      <w:color w:val="000000" w:themeColor="text1"/>
                      <w:kern w:val="0"/>
                      <w:szCs w:val="21"/>
                      <w:highlight w:val="none"/>
                      <w:lang w:eastAsia="zh-CN"/>
                      <w14:textFill>
                        <w14:solidFill>
                          <w14:schemeClr w14:val="tx1"/>
                        </w14:solidFill>
                      </w14:textFill>
                    </w:rPr>
                    <w:t>m</w:t>
                  </w:r>
                  <w:r>
                    <w:rPr>
                      <w:rFonts w:hint="eastAsia" w:ascii="Times New Roman" w:hAnsi="Times New Roman" w:eastAsia="宋体"/>
                      <w:color w:val="000000" w:themeColor="text1"/>
                      <w:kern w:val="0"/>
                      <w:szCs w:val="2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Cs w:val="21"/>
                      <w:highlight w:val="none"/>
                      <w:lang w:eastAsia="zh-CN"/>
                      <w14:textFill>
                        <w14:solidFill>
                          <w14:schemeClr w14:val="tx1"/>
                        </w14:solidFill>
                      </w14:textFill>
                    </w:rPr>
                    <w:t>），同时添加絮凝沉淀剂（PAM、PAC），上清液回用于厂区抑尘</w:t>
                  </w:r>
                  <w:r>
                    <w:rPr>
                      <w:rFonts w:hint="eastAsia" w:ascii="宋体" w:hAnsi="宋体" w:eastAsia="宋体"/>
                      <w:color w:val="000000" w:themeColor="text1"/>
                      <w:spacing w:val="-3"/>
                      <w:sz w:val="21"/>
                      <w:szCs w:val="24"/>
                      <w:highlight w:val="none"/>
                      <w:lang w:eastAsia="zh-CN"/>
                      <w14:textFill>
                        <w14:solidFill>
                          <w14:schemeClr w14:val="tx1"/>
                        </w14:solidFill>
                      </w14:textFill>
                    </w:rPr>
                    <w:t>及清洗用水</w:t>
                  </w:r>
                  <w:r>
                    <w:rPr>
                      <w:rFonts w:hint="eastAsia" w:ascii="Times New Roman" w:hAnsi="Times New Roman" w:eastAsia="宋体"/>
                      <w:color w:val="000000" w:themeColor="text1"/>
                      <w:kern w:val="0"/>
                      <w:szCs w:val="21"/>
                      <w:highlight w:val="none"/>
                      <w:lang w:eastAsia="zh-CN"/>
                      <w14:textFill>
                        <w14:solidFill>
                          <w14:schemeClr w14:val="tx1"/>
                        </w14:solidFill>
                      </w14:textFill>
                    </w:rPr>
                    <w:t>。</w:t>
                  </w:r>
                </w:p>
              </w:tc>
              <w:tc>
                <w:tcPr>
                  <w:tcW w:w="1202" w:type="dxa"/>
                  <w:vAlign w:val="center"/>
                </w:tcPr>
                <w:p w14:paraId="500C1BE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0843DC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0E0CA4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7EF52A2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2B0E2AF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5BFA897A">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养护</w:t>
                  </w:r>
                  <w:r>
                    <w:rPr>
                      <w:rFonts w:hint="eastAsia" w:ascii="Times New Roman" w:hAnsi="Times New Roman" w:eastAsia="宋体"/>
                      <w:color w:val="000000" w:themeColor="text1"/>
                      <w:szCs w:val="21"/>
                      <w:highlight w:val="none"/>
                      <w:lang w:val="en-US" w:eastAsia="zh-CN"/>
                      <w14:textFill>
                        <w14:solidFill>
                          <w14:schemeClr w14:val="tx1"/>
                        </w14:solidFill>
                      </w14:textFill>
                    </w:rPr>
                    <w:t>/蒸养</w:t>
                  </w:r>
                  <w:r>
                    <w:rPr>
                      <w:rFonts w:hint="eastAsia" w:ascii="Times New Roman" w:hAnsi="Times New Roman" w:eastAsia="宋体"/>
                      <w:color w:val="000000" w:themeColor="text1"/>
                      <w:szCs w:val="21"/>
                      <w:highlight w:val="none"/>
                      <w:lang w:eastAsia="zh-CN"/>
                      <w14:textFill>
                        <w14:solidFill>
                          <w14:schemeClr w14:val="tx1"/>
                        </w14:solidFill>
                      </w14:textFill>
                    </w:rPr>
                    <w:t>废水：设置沉淀池（15m</w:t>
                  </w:r>
                  <w:r>
                    <w:rPr>
                      <w:rFonts w:hint="eastAsia" w:ascii="Times New Roman" w:hAnsi="Times New Roman" w:eastAsia="宋体"/>
                      <w:color w:val="000000" w:themeColor="text1"/>
                      <w:szCs w:val="2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szCs w:val="21"/>
                      <w:highlight w:val="none"/>
                      <w:lang w:eastAsia="zh-CN"/>
                      <w14:textFill>
                        <w14:solidFill>
                          <w14:schemeClr w14:val="tx1"/>
                        </w14:solidFill>
                      </w14:textFill>
                    </w:rPr>
                    <w:t>），经沉淀后回用于洒水降尘等。</w:t>
                  </w:r>
                </w:p>
              </w:tc>
              <w:tc>
                <w:tcPr>
                  <w:tcW w:w="1202" w:type="dxa"/>
                  <w:vAlign w:val="center"/>
                </w:tcPr>
                <w:p w14:paraId="1414AC2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58" w:type="dxa"/>
                  <w:vAlign w:val="center"/>
                </w:tcPr>
                <w:p w14:paraId="6C9C20C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0E6F7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1FF95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455EF84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510806A1">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运输车辆冲洗废水：运输车辆冲洗废水经隔油沉淀池（</w:t>
                  </w:r>
                  <w:r>
                    <w:rPr>
                      <w:rFonts w:hint="eastAsia" w:ascii="Times New Roman" w:hAnsi="Times New Roman" w:eastAsia="宋体"/>
                      <w:color w:val="000000" w:themeColor="text1"/>
                      <w:szCs w:val="21"/>
                      <w:highlight w:val="none"/>
                      <w:lang w:val="en-US" w:eastAsia="zh-CN"/>
                      <w14:textFill>
                        <w14:solidFill>
                          <w14:schemeClr w14:val="tx1"/>
                        </w14:solidFill>
                      </w14:textFill>
                    </w:rPr>
                    <w:t>25</w:t>
                  </w:r>
                  <w:r>
                    <w:rPr>
                      <w:rFonts w:hint="eastAsia" w:ascii="Times New Roman" w:hAnsi="Times New Roman" w:eastAsia="宋体"/>
                      <w:color w:val="000000" w:themeColor="text1"/>
                      <w:szCs w:val="21"/>
                      <w:highlight w:val="none"/>
                      <w14:textFill>
                        <w14:solidFill>
                          <w14:schemeClr w14:val="tx1"/>
                        </w14:solidFill>
                      </w14:textFill>
                    </w:rPr>
                    <w:t>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）处理后回用于车辆冲洗，不外排</w:t>
                  </w:r>
                </w:p>
              </w:tc>
              <w:tc>
                <w:tcPr>
                  <w:tcW w:w="1202" w:type="dxa"/>
                  <w:vAlign w:val="center"/>
                </w:tcPr>
                <w:p w14:paraId="2E6EAFA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64580FB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54AF8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1FAF1FC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698A75D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68F18F7F">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 w:val="18"/>
                      <w:szCs w:val="18"/>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食堂餐饮废水：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1个油水分离器（</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m³）处理后排入</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，同生活污水一同处置</w:t>
                  </w:r>
                </w:p>
                <w:p w14:paraId="32F1B2EF">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生活污水（含食堂废水）：</w:t>
                  </w:r>
                  <w:r>
                    <w:rPr>
                      <w:rFonts w:hint="eastAsia" w:ascii="Times New Roman" w:hAnsi="Times New Roman" w:eastAsia="宋体"/>
                      <w:color w:val="000000" w:themeColor="text1"/>
                      <w:szCs w:val="21"/>
                      <w:highlight w:val="none"/>
                      <w:lang w:eastAsia="zh-CN"/>
                      <w14:textFill>
                        <w14:solidFill>
                          <w14:schemeClr w14:val="tx1"/>
                        </w14:solidFill>
                      </w14:textFill>
                    </w:rPr>
                    <w:t>经</w:t>
                  </w:r>
                  <w:r>
                    <w:rPr>
                      <w:rFonts w:hint="eastAsia" w:ascii="Times New Roman" w:hAnsi="Times New Roman" w:eastAsia="宋体"/>
                      <w:color w:val="000000" w:themeColor="text1"/>
                      <w:szCs w:val="21"/>
                      <w:highlight w:val="none"/>
                      <w14:textFill>
                        <w14:solidFill>
                          <w14:schemeClr w14:val="tx1"/>
                        </w14:solidFill>
                      </w14:textFill>
                    </w:rPr>
                    <w:t>化粪池（容积</w:t>
                  </w:r>
                  <w:r>
                    <w:rPr>
                      <w:rFonts w:hint="eastAsia" w:ascii="Times New Roman" w:hAnsi="Times New Roman" w:eastAsia="宋体"/>
                      <w:color w:val="000000" w:themeColor="text1"/>
                      <w:szCs w:val="21"/>
                      <w:highlight w:val="none"/>
                      <w:lang w:val="en-US" w:eastAsia="zh-CN"/>
                      <w14:textFill>
                        <w14:solidFill>
                          <w14:schemeClr w14:val="tx1"/>
                        </w14:solidFill>
                      </w14:textFill>
                    </w:rPr>
                    <w:t>4</w:t>
                  </w:r>
                  <w:r>
                    <w:rPr>
                      <w:rFonts w:hint="eastAsia" w:ascii="Times New Roman" w:hAnsi="Times New Roman" w:eastAsia="宋体"/>
                      <w:color w:val="000000" w:themeColor="text1"/>
                      <w:szCs w:val="21"/>
                      <w:highlight w:val="none"/>
                      <w14:textFill>
                        <w14:solidFill>
                          <w14:schemeClr w14:val="tx1"/>
                        </w14:solidFill>
                      </w14:textFill>
                    </w:rPr>
                    <w:t>0m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处理后进入宝梵</w:t>
                  </w:r>
                  <w:r>
                    <w:rPr>
                      <w:rFonts w:hint="eastAsia" w:ascii="Times New Roman" w:hAnsi="Times New Roman" w:eastAsia="宋体"/>
                      <w:color w:val="000000" w:themeColor="text1"/>
                      <w:szCs w:val="21"/>
                      <w:highlight w:val="none"/>
                      <w14:textFill>
                        <w14:solidFill>
                          <w14:schemeClr w14:val="tx1"/>
                        </w14:solidFill>
                      </w14:textFill>
                    </w:rPr>
                    <w:t>污水处理厂</w:t>
                  </w:r>
                  <w:r>
                    <w:rPr>
                      <w:rFonts w:hint="eastAsia" w:ascii="Times New Roman" w:hAnsi="Times New Roman" w:eastAsia="宋体"/>
                      <w:color w:val="000000" w:themeColor="text1"/>
                      <w:szCs w:val="21"/>
                      <w:highlight w:val="none"/>
                      <w:lang w:eastAsia="zh-CN"/>
                      <w14:textFill>
                        <w14:solidFill>
                          <w14:schemeClr w14:val="tx1"/>
                        </w14:solidFill>
                      </w14:textFill>
                    </w:rPr>
                    <w:t>处理后达标排放</w:t>
                  </w:r>
                </w:p>
              </w:tc>
              <w:tc>
                <w:tcPr>
                  <w:tcW w:w="1202" w:type="dxa"/>
                  <w:vAlign w:val="center"/>
                </w:tcPr>
                <w:p w14:paraId="7BA2A24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3B4E49E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56754A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249BBF6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717792B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52F23A05">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初期雨水：进入</w:t>
                  </w:r>
                  <w:r>
                    <w:rPr>
                      <w:rFonts w:hint="eastAsia" w:ascii="Times New Roman" w:hAnsi="Times New Roman" w:eastAsia="宋体"/>
                      <w:color w:val="000000" w:themeColor="text1"/>
                      <w:szCs w:val="21"/>
                      <w:highlight w:val="none"/>
                      <w:lang w:eastAsia="zh-CN"/>
                      <w14:textFill>
                        <w14:solidFill>
                          <w14:schemeClr w14:val="tx1"/>
                        </w14:solidFill>
                      </w14:textFill>
                    </w:rPr>
                    <w:t>雨水收集池</w:t>
                  </w:r>
                  <w:r>
                    <w:rPr>
                      <w:rFonts w:hint="eastAsia"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 w:val="21"/>
                      <w:szCs w:val="21"/>
                      <w:highlight w:val="none"/>
                      <w14:textFill>
                        <w14:solidFill>
                          <w14:schemeClr w14:val="tx1"/>
                        </w14:solidFill>
                      </w14:textFill>
                    </w:rPr>
                    <w:t>容积</w:t>
                  </w:r>
                  <w:r>
                    <w:rPr>
                      <w:rFonts w:hint="eastAsia" w:ascii="Times New Roman" w:hAnsi="Times New Roman" w:eastAsia="宋体"/>
                      <w:color w:val="000000" w:themeColor="text1"/>
                      <w:sz w:val="21"/>
                      <w:szCs w:val="21"/>
                      <w:highlight w:val="none"/>
                      <w:lang w:val="en-US" w:eastAsia="zh-CN"/>
                      <w14:textFill>
                        <w14:solidFill>
                          <w14:schemeClr w14:val="tx1"/>
                        </w14:solidFill>
                      </w14:textFill>
                    </w:rPr>
                    <w:t>300</w:t>
                  </w:r>
                  <w:r>
                    <w:rPr>
                      <w:rFonts w:hint="eastAsia" w:ascii="Times New Roman" w:hAnsi="Times New Roman" w:eastAsia="宋体"/>
                      <w:color w:val="000000" w:themeColor="text1"/>
                      <w:sz w:val="21"/>
                      <w:szCs w:val="21"/>
                      <w:highlight w:val="none"/>
                      <w14:textFill>
                        <w14:solidFill>
                          <w14:schemeClr w14:val="tx1"/>
                        </w14:solidFill>
                      </w14:textFill>
                    </w:rPr>
                    <w:t>m</w:t>
                  </w:r>
                  <w:r>
                    <w:rPr>
                      <w:rFonts w:hint="eastAsia" w:ascii="Times New Roman" w:hAnsi="Times New Roman" w:eastAsia="宋体"/>
                      <w:color w:val="000000" w:themeColor="text1"/>
                      <w:sz w:val="2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）处理，处理后回用于生产用水，不外排</w:t>
                  </w:r>
                </w:p>
              </w:tc>
              <w:tc>
                <w:tcPr>
                  <w:tcW w:w="1202" w:type="dxa"/>
                  <w:vAlign w:val="center"/>
                </w:tcPr>
                <w:p w14:paraId="59E859B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54BFCA0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r>
            <w:tr w14:paraId="277CB8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310B805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Align w:val="center"/>
                </w:tcPr>
                <w:p w14:paraId="29C2C95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噪声</w:t>
                  </w:r>
                </w:p>
              </w:tc>
              <w:tc>
                <w:tcPr>
                  <w:tcW w:w="4223" w:type="dxa"/>
                  <w:vAlign w:val="center"/>
                </w:tcPr>
                <w:p w14:paraId="16790CB4">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厂房隔音、基础减震、合理布局、定期维护设备</w:t>
                  </w:r>
                </w:p>
              </w:tc>
              <w:tc>
                <w:tcPr>
                  <w:tcW w:w="1202" w:type="dxa"/>
                  <w:vAlign w:val="center"/>
                </w:tcPr>
                <w:p w14:paraId="7F4FBC0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Align w:val="center"/>
                </w:tcPr>
                <w:p w14:paraId="4310B6E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噪声</w:t>
                  </w:r>
                </w:p>
              </w:tc>
            </w:tr>
            <w:tr w14:paraId="0B746C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1D3A02A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restart"/>
                  <w:vAlign w:val="center"/>
                </w:tcPr>
                <w:p w14:paraId="4A5582F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固体废物</w:t>
                  </w:r>
                </w:p>
              </w:tc>
              <w:tc>
                <w:tcPr>
                  <w:tcW w:w="4223" w:type="dxa"/>
                  <w:vAlign w:val="center"/>
                </w:tcPr>
                <w:p w14:paraId="56638BB5">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生活垃圾统一收集后由环卫部门处理</w:t>
                  </w:r>
                  <w:r>
                    <w:rPr>
                      <w:rFonts w:hint="eastAsia" w:ascii="Times New Roman" w:hAnsi="Times New Roman" w:eastAsia="宋体"/>
                      <w:color w:val="000000" w:themeColor="text1"/>
                      <w:szCs w:val="21"/>
                      <w:highlight w:val="none"/>
                      <w:lang w:eastAsia="zh-CN"/>
                      <w14:textFill>
                        <w14:solidFill>
                          <w14:schemeClr w14:val="tx1"/>
                        </w14:solidFill>
                      </w14:textFill>
                    </w:rPr>
                    <w:t>；餐厨垃圾及食堂油水分离器废油脂交由相应资质单位处置。</w:t>
                  </w:r>
                </w:p>
              </w:tc>
              <w:tc>
                <w:tcPr>
                  <w:tcW w:w="1202" w:type="dxa"/>
                  <w:vAlign w:val="center"/>
                </w:tcPr>
                <w:p w14:paraId="48A2BF4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Merge w:val="restart"/>
                  <w:vAlign w:val="center"/>
                </w:tcPr>
                <w:p w14:paraId="0647BA8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固体废物</w:t>
                  </w:r>
                </w:p>
              </w:tc>
            </w:tr>
            <w:tr w14:paraId="3F2E3F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7C90B22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0136538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36262442">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 w:val="21"/>
                      <w:szCs w:val="21"/>
                      <w:highlight w:val="none"/>
                      <w14:textFill>
                        <w14:solidFill>
                          <w14:schemeClr w14:val="tx1"/>
                        </w14:solidFill>
                      </w14:textFill>
                    </w:rPr>
                    <w:t>收尘系统收集的粉尘</w:t>
                  </w:r>
                  <w:r>
                    <w:rPr>
                      <w:rFonts w:hint="eastAsia" w:ascii="Times New Roman" w:hAnsi="Times New Roman" w:eastAsia="宋体"/>
                      <w:color w:val="000000" w:themeColor="text1"/>
                      <w:sz w:val="21"/>
                      <w:szCs w:val="21"/>
                      <w:highlight w:val="none"/>
                      <w14:textFill>
                        <w14:solidFill>
                          <w14:schemeClr w14:val="tx1"/>
                        </w14:solidFill>
                      </w14:textFill>
                    </w:rPr>
                    <w:t>回用于生产；沉淀池污泥定期进行清掏，</w:t>
                  </w:r>
                  <w:r>
                    <w:rPr>
                      <w:rFonts w:hint="default" w:ascii="Times New Roman" w:hAnsi="Times New Roman" w:eastAsia="宋体" w:cs="Times New Roman"/>
                      <w:color w:val="000000" w:themeColor="text1"/>
                      <w:sz w:val="21"/>
                      <w:szCs w:val="21"/>
                      <w:highlight w:val="none"/>
                      <w14:textFill>
                        <w14:solidFill>
                          <w14:schemeClr w14:val="tx1"/>
                        </w14:solidFill>
                      </w14:textFill>
                    </w:rPr>
                    <w:t>底泥</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经设置压滤机脱水后，泥饼及检验室硬化混凝土块</w:t>
                  </w:r>
                  <w:r>
                    <w:rPr>
                      <w:rFonts w:hint="eastAsia" w:ascii="Times New Roman" w:hAnsi="Times New Roman" w:eastAsia="宋体"/>
                      <w:color w:val="000000" w:themeColor="text1"/>
                      <w:sz w:val="21"/>
                      <w:szCs w:val="21"/>
                      <w:highlight w:val="none"/>
                      <w:lang w:eastAsia="zh-CN"/>
                      <w14:textFill>
                        <w14:solidFill>
                          <w14:schemeClr w14:val="tx1"/>
                        </w14:solidFill>
                      </w14:textFill>
                    </w:rPr>
                    <w:t>清运至G42线南充至成都段高速公路扩容工程弃渣场（经纬度：105.5903，30.6304）。</w:t>
                  </w:r>
                </w:p>
              </w:tc>
              <w:tc>
                <w:tcPr>
                  <w:tcW w:w="1202" w:type="dxa"/>
                  <w:vAlign w:val="center"/>
                </w:tcPr>
                <w:p w14:paraId="461C930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Merge w:val="continue"/>
                  <w:vAlign w:val="center"/>
                </w:tcPr>
                <w:p w14:paraId="604AA75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23F587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28" w:type="dxa"/>
                  <w:vMerge w:val="continue"/>
                  <w:vAlign w:val="center"/>
                </w:tcPr>
                <w:p w14:paraId="56D2A3C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30" w:type="dxa"/>
                  <w:vMerge w:val="continue"/>
                  <w:vAlign w:val="center"/>
                </w:tcPr>
                <w:p w14:paraId="59A10BF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223" w:type="dxa"/>
                  <w:vAlign w:val="center"/>
                </w:tcPr>
                <w:p w14:paraId="723EAD6E">
                  <w:pPr>
                    <w:keepNext w:val="0"/>
                    <w:keepLines w:val="0"/>
                    <w:pageBreakBefore w:val="0"/>
                    <w:widowControl w:val="0"/>
                    <w:kinsoku/>
                    <w:overflowPunct/>
                    <w:topLinePunct w:val="0"/>
                    <w:autoSpaceDE/>
                    <w:autoSpaceDN/>
                    <w:bidi w:val="0"/>
                    <w:adjustRightInd w:val="0"/>
                    <w:snapToGrid w:val="0"/>
                    <w:spacing w:line="240" w:lineRule="auto"/>
                    <w:ind w:firstLine="210" w:firstLineChars="100"/>
                    <w:jc w:val="left"/>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危险废物收集后暂存于危废暂存间，定期交由有资质的单位处理</w:t>
                  </w:r>
                </w:p>
              </w:tc>
              <w:tc>
                <w:tcPr>
                  <w:tcW w:w="1202" w:type="dxa"/>
                  <w:vAlign w:val="center"/>
                </w:tcPr>
                <w:p w14:paraId="7C58094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958" w:type="dxa"/>
                  <w:vMerge w:val="continue"/>
                  <w:vAlign w:val="center"/>
                </w:tcPr>
                <w:p w14:paraId="42374C0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bl>
          <w:p w14:paraId="0905B8C6">
            <w:pPr>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ascii="宋体" w:hAnsi="宋体" w:eastAsia="宋体"/>
                <w:b/>
                <w:bCs/>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五</w:t>
            </w:r>
            <w:r>
              <w:rPr>
                <w:rFonts w:hint="eastAsia" w:ascii="宋体" w:hAnsi="宋体" w:eastAsia="宋体"/>
                <w:b/>
                <w:bCs/>
                <w:color w:val="000000" w:themeColor="text1"/>
                <w:sz w:val="24"/>
                <w:highlight w:val="none"/>
                <w14:textFill>
                  <w14:solidFill>
                    <w14:schemeClr w14:val="tx1"/>
                  </w14:solidFill>
                </w14:textFill>
              </w:rPr>
              <w:t>、主要生产设备</w:t>
            </w:r>
          </w:p>
          <w:p w14:paraId="01567E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本项目主要设备清单如下。</w:t>
            </w:r>
          </w:p>
          <w:p w14:paraId="5193B579">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9</w:t>
            </w:r>
            <w:r>
              <w:rPr>
                <w:rFonts w:hint="eastAsia" w:ascii="Times New Roman" w:hAnsi="Times New Roman" w:eastAsia="宋体"/>
                <w:b/>
                <w:bCs/>
                <w:color w:val="000000" w:themeColor="text1"/>
                <w:kern w:val="0"/>
                <w:szCs w:val="21"/>
                <w:highlight w:val="none"/>
                <w14:textFill>
                  <w14:solidFill>
                    <w14:schemeClr w14:val="tx1"/>
                  </w14:solidFill>
                </w14:textFill>
              </w:rPr>
              <w:t xml:space="preserve"> </w:t>
            </w:r>
            <w:r>
              <w:rPr>
                <w:rFonts w:ascii="Times New Roman" w:hAnsi="Times New Roman" w:eastAsia="宋体"/>
                <w:b/>
                <w:bCs/>
                <w:color w:val="000000" w:themeColor="text1"/>
                <w:kern w:val="0"/>
                <w:szCs w:val="21"/>
                <w:highlight w:val="none"/>
                <w14:textFill>
                  <w14:solidFill>
                    <w14:schemeClr w14:val="tx1"/>
                  </w14:solidFill>
                </w14:textFill>
              </w:rPr>
              <w:t xml:space="preserve">   </w:t>
            </w:r>
            <w:r>
              <w:rPr>
                <w:rFonts w:hint="eastAsia" w:ascii="Times New Roman" w:hAnsi="Times New Roman" w:eastAsia="宋体"/>
                <w:b/>
                <w:bCs/>
                <w:color w:val="000000" w:themeColor="text1"/>
                <w:kern w:val="0"/>
                <w:szCs w:val="21"/>
                <w:highlight w:val="none"/>
                <w:lang w:eastAsia="zh-CN"/>
                <w14:textFill>
                  <w14:solidFill>
                    <w14:schemeClr w14:val="tx1"/>
                  </w14:solidFill>
                </w14:textFill>
              </w:rPr>
              <w:t>碎石加工</w:t>
            </w:r>
            <w:r>
              <w:rPr>
                <w:rFonts w:ascii="Times New Roman" w:hAnsi="Times New Roman" w:eastAsia="宋体"/>
                <w:b/>
                <w:bCs/>
                <w:color w:val="000000" w:themeColor="text1"/>
                <w:kern w:val="0"/>
                <w:szCs w:val="21"/>
                <w:highlight w:val="none"/>
                <w14:textFill>
                  <w14:solidFill>
                    <w14:schemeClr w14:val="tx1"/>
                  </w14:solidFill>
                </w14:textFill>
              </w:rPr>
              <w:t>主要生产设备</w:t>
            </w:r>
          </w:p>
          <w:tbl>
            <w:tblPr>
              <w:tblStyle w:val="20"/>
              <w:tblW w:w="4932" w:type="pct"/>
              <w:jc w:val="center"/>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fixed"/>
              <w:tblCellMar>
                <w:top w:w="0" w:type="dxa"/>
                <w:left w:w="108" w:type="dxa"/>
                <w:bottom w:w="0" w:type="dxa"/>
                <w:right w:w="108" w:type="dxa"/>
              </w:tblCellMar>
            </w:tblPr>
            <w:tblGrid>
              <w:gridCol w:w="924"/>
              <w:gridCol w:w="2006"/>
              <w:gridCol w:w="1595"/>
              <w:gridCol w:w="1506"/>
              <w:gridCol w:w="1901"/>
            </w:tblGrid>
            <w:tr w14:paraId="1ACDF0F4">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23A9D7C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序号</w:t>
                  </w:r>
                </w:p>
              </w:tc>
              <w:tc>
                <w:tcPr>
                  <w:tcW w:w="1264" w:type="pct"/>
                  <w:tcBorders>
                    <w:tl2br w:val="nil"/>
                    <w:tr2bl w:val="nil"/>
                  </w:tcBorders>
                  <w:vAlign w:val="center"/>
                </w:tcPr>
                <w:p w14:paraId="11BB5924">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设备名称</w:t>
                  </w:r>
                </w:p>
              </w:tc>
              <w:tc>
                <w:tcPr>
                  <w:tcW w:w="1005" w:type="pct"/>
                  <w:tcBorders>
                    <w:tl2br w:val="nil"/>
                    <w:tr2bl w:val="nil"/>
                  </w:tcBorders>
                  <w:vAlign w:val="center"/>
                </w:tcPr>
                <w:p w14:paraId="612A49A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数量（台）</w:t>
                  </w:r>
                </w:p>
              </w:tc>
              <w:tc>
                <w:tcPr>
                  <w:tcW w:w="949" w:type="pct"/>
                  <w:tcBorders>
                    <w:tl2br w:val="nil"/>
                    <w:tr2bl w:val="nil"/>
                  </w:tcBorders>
                  <w:vAlign w:val="center"/>
                </w:tcPr>
                <w:p w14:paraId="68D87D5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规格</w:t>
                  </w:r>
                </w:p>
              </w:tc>
              <w:tc>
                <w:tcPr>
                  <w:tcW w:w="1198" w:type="pct"/>
                  <w:tcBorders>
                    <w:tl2br w:val="nil"/>
                    <w:tr2bl w:val="nil"/>
                  </w:tcBorders>
                  <w:vAlign w:val="center"/>
                </w:tcPr>
                <w:p w14:paraId="7C157BC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b/>
                      <w:bCs/>
                      <w:color w:val="000000" w:themeColor="text1"/>
                      <w:kern w:val="0"/>
                      <w:szCs w:val="21"/>
                      <w:highlight w:val="none"/>
                      <w:lang w:eastAsia="zh-CN"/>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备注</w:t>
                  </w:r>
                </w:p>
              </w:tc>
            </w:tr>
            <w:tr w14:paraId="2BC338CA">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5D8243D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1</w:t>
                  </w:r>
                </w:p>
              </w:tc>
              <w:tc>
                <w:tcPr>
                  <w:tcW w:w="2006" w:type="dxa"/>
                  <w:tcBorders>
                    <w:tl2br w:val="nil"/>
                    <w:tr2bl w:val="nil"/>
                  </w:tcBorders>
                  <w:vAlign w:val="center"/>
                </w:tcPr>
                <w:p w14:paraId="58B992A9">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颚式破碎机</w:t>
                  </w:r>
                </w:p>
              </w:tc>
              <w:tc>
                <w:tcPr>
                  <w:tcW w:w="1005" w:type="pct"/>
                  <w:tcBorders>
                    <w:tl2br w:val="nil"/>
                    <w:tr2bl w:val="nil"/>
                  </w:tcBorders>
                  <w:vAlign w:val="center"/>
                </w:tcPr>
                <w:p w14:paraId="6B7BC530">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949" w:type="pct"/>
                  <w:tcBorders>
                    <w:tl2br w:val="nil"/>
                    <w:tr2bl w:val="nil"/>
                  </w:tcBorders>
                  <w:vAlign w:val="center"/>
                </w:tcPr>
                <w:p w14:paraId="33B2DBE3">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901" w:type="dxa"/>
                  <w:tcBorders>
                    <w:tl2br w:val="nil"/>
                    <w:tr2bl w:val="nil"/>
                  </w:tcBorders>
                  <w:vAlign w:val="center"/>
                </w:tcPr>
                <w:p w14:paraId="7CA5D3C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63D67719">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0801CE8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2</w:t>
                  </w:r>
                </w:p>
              </w:tc>
              <w:tc>
                <w:tcPr>
                  <w:tcW w:w="2006" w:type="dxa"/>
                  <w:tcBorders>
                    <w:tl2br w:val="nil"/>
                    <w:tr2bl w:val="nil"/>
                  </w:tcBorders>
                  <w:vAlign w:val="center"/>
                </w:tcPr>
                <w:p w14:paraId="16DA91F4">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反击</w:t>
                  </w:r>
                  <w:r>
                    <w:rPr>
                      <w:rFonts w:ascii="Times New Roman" w:hAnsi="Times New Roman" w:eastAsia="宋体"/>
                      <w:color w:val="000000" w:themeColor="text1"/>
                      <w:szCs w:val="21"/>
                      <w:highlight w:val="none"/>
                      <w14:textFill>
                        <w14:solidFill>
                          <w14:schemeClr w14:val="tx1"/>
                        </w14:solidFill>
                      </w14:textFill>
                    </w:rPr>
                    <w:t>破碎机</w:t>
                  </w:r>
                </w:p>
              </w:tc>
              <w:tc>
                <w:tcPr>
                  <w:tcW w:w="1005" w:type="pct"/>
                  <w:tcBorders>
                    <w:tl2br w:val="nil"/>
                    <w:tr2bl w:val="nil"/>
                  </w:tcBorders>
                  <w:vAlign w:val="center"/>
                </w:tcPr>
                <w:p w14:paraId="3FAC20EF">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2</w:t>
                  </w:r>
                </w:p>
              </w:tc>
              <w:tc>
                <w:tcPr>
                  <w:tcW w:w="949" w:type="pct"/>
                  <w:tcBorders>
                    <w:tl2br w:val="nil"/>
                    <w:tr2bl w:val="nil"/>
                  </w:tcBorders>
                  <w:vAlign w:val="center"/>
                </w:tcPr>
                <w:p w14:paraId="171C2941">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901" w:type="dxa"/>
                  <w:tcBorders>
                    <w:tl2br w:val="nil"/>
                    <w:tr2bl w:val="nil"/>
                  </w:tcBorders>
                  <w:vAlign w:val="center"/>
                </w:tcPr>
                <w:p w14:paraId="252F2F1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77AE62CF">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407B1EB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3</w:t>
                  </w:r>
                </w:p>
              </w:tc>
              <w:tc>
                <w:tcPr>
                  <w:tcW w:w="2006" w:type="dxa"/>
                  <w:tcBorders>
                    <w:tl2br w:val="nil"/>
                    <w:tr2bl w:val="nil"/>
                  </w:tcBorders>
                  <w:vAlign w:val="center"/>
                </w:tcPr>
                <w:p w14:paraId="0D1F4DFC">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皮</w:t>
                  </w:r>
                  <w:r>
                    <w:rPr>
                      <w:rFonts w:ascii="Times New Roman" w:hAnsi="Times New Roman" w:eastAsia="宋体"/>
                      <w:color w:val="000000" w:themeColor="text1"/>
                      <w:szCs w:val="21"/>
                      <w:highlight w:val="none"/>
                      <w14:textFill>
                        <w14:solidFill>
                          <w14:schemeClr w14:val="tx1"/>
                        </w14:solidFill>
                      </w14:textFill>
                    </w:rPr>
                    <w:t>带输送机</w:t>
                  </w:r>
                </w:p>
              </w:tc>
              <w:tc>
                <w:tcPr>
                  <w:tcW w:w="1005" w:type="pct"/>
                  <w:tcBorders>
                    <w:tl2br w:val="nil"/>
                    <w:tr2bl w:val="nil"/>
                  </w:tcBorders>
                  <w:vAlign w:val="center"/>
                </w:tcPr>
                <w:p w14:paraId="30AABAAA">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949" w:type="pct"/>
                  <w:tcBorders>
                    <w:tl2br w:val="nil"/>
                    <w:tr2bl w:val="nil"/>
                  </w:tcBorders>
                  <w:vAlign w:val="center"/>
                </w:tcPr>
                <w:p w14:paraId="5C72FA60">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901" w:type="dxa"/>
                  <w:tcBorders>
                    <w:tl2br w:val="nil"/>
                    <w:tr2bl w:val="nil"/>
                  </w:tcBorders>
                  <w:vAlign w:val="center"/>
                </w:tcPr>
                <w:p w14:paraId="03D347C8">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2BCEA453">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05F6381D">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4</w:t>
                  </w:r>
                </w:p>
              </w:tc>
              <w:tc>
                <w:tcPr>
                  <w:tcW w:w="2006" w:type="dxa"/>
                  <w:tcBorders>
                    <w:tl2br w:val="nil"/>
                    <w:tr2bl w:val="nil"/>
                  </w:tcBorders>
                  <w:vAlign w:val="center"/>
                </w:tcPr>
                <w:p w14:paraId="30561027">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振动筛</w:t>
                  </w:r>
                </w:p>
              </w:tc>
              <w:tc>
                <w:tcPr>
                  <w:tcW w:w="1005" w:type="pct"/>
                  <w:tcBorders>
                    <w:tl2br w:val="nil"/>
                    <w:tr2bl w:val="nil"/>
                  </w:tcBorders>
                  <w:vAlign w:val="center"/>
                </w:tcPr>
                <w:p w14:paraId="11A616E5">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949" w:type="pct"/>
                  <w:tcBorders>
                    <w:tl2br w:val="nil"/>
                    <w:tr2bl w:val="nil"/>
                  </w:tcBorders>
                  <w:vAlign w:val="center"/>
                </w:tcPr>
                <w:p w14:paraId="1677B50E">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901" w:type="dxa"/>
                  <w:tcBorders>
                    <w:tl2br w:val="nil"/>
                    <w:tr2bl w:val="nil"/>
                  </w:tcBorders>
                  <w:vAlign w:val="center"/>
                </w:tcPr>
                <w:p w14:paraId="433DAAB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160475E8">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2A7757E2">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5</w:t>
                  </w:r>
                </w:p>
              </w:tc>
              <w:tc>
                <w:tcPr>
                  <w:tcW w:w="2006" w:type="dxa"/>
                  <w:tcBorders>
                    <w:tl2br w:val="nil"/>
                    <w:tr2bl w:val="nil"/>
                  </w:tcBorders>
                  <w:vAlign w:val="center"/>
                </w:tcPr>
                <w:p w14:paraId="193D5D54">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装载机</w:t>
                  </w:r>
                </w:p>
              </w:tc>
              <w:tc>
                <w:tcPr>
                  <w:tcW w:w="1005" w:type="pct"/>
                  <w:tcBorders>
                    <w:tl2br w:val="nil"/>
                    <w:tr2bl w:val="nil"/>
                  </w:tcBorders>
                  <w:vAlign w:val="center"/>
                </w:tcPr>
                <w:p w14:paraId="5BF3DF97">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949" w:type="pct"/>
                  <w:tcBorders>
                    <w:tl2br w:val="nil"/>
                    <w:tr2bl w:val="nil"/>
                  </w:tcBorders>
                  <w:vAlign w:val="center"/>
                </w:tcPr>
                <w:p w14:paraId="3B5156AD">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901" w:type="dxa"/>
                  <w:tcBorders>
                    <w:tl2br w:val="nil"/>
                    <w:tr2bl w:val="nil"/>
                  </w:tcBorders>
                  <w:vAlign w:val="center"/>
                </w:tcPr>
                <w:p w14:paraId="09671ED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002E850A">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5243978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6</w:t>
                  </w:r>
                </w:p>
              </w:tc>
              <w:tc>
                <w:tcPr>
                  <w:tcW w:w="2006" w:type="dxa"/>
                  <w:tcBorders>
                    <w:tl2br w:val="nil"/>
                    <w:tr2bl w:val="nil"/>
                  </w:tcBorders>
                  <w:vAlign w:val="center"/>
                </w:tcPr>
                <w:p w14:paraId="2CFBA23C">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自卸汽车</w:t>
                  </w:r>
                </w:p>
              </w:tc>
              <w:tc>
                <w:tcPr>
                  <w:tcW w:w="1005" w:type="pct"/>
                  <w:tcBorders>
                    <w:tl2br w:val="nil"/>
                    <w:tr2bl w:val="nil"/>
                  </w:tcBorders>
                  <w:vAlign w:val="center"/>
                </w:tcPr>
                <w:p w14:paraId="19F70F58">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w:t>
                  </w:r>
                </w:p>
              </w:tc>
              <w:tc>
                <w:tcPr>
                  <w:tcW w:w="949" w:type="pct"/>
                  <w:tcBorders>
                    <w:tl2br w:val="nil"/>
                    <w:tr2bl w:val="nil"/>
                  </w:tcBorders>
                  <w:vAlign w:val="center"/>
                </w:tcPr>
                <w:p w14:paraId="1DD5CE25">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901" w:type="dxa"/>
                  <w:tcBorders>
                    <w:tl2br w:val="nil"/>
                    <w:tr2bl w:val="nil"/>
                  </w:tcBorders>
                  <w:vAlign w:val="center"/>
                </w:tcPr>
                <w:p w14:paraId="40F4F77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bl>
          <w:p w14:paraId="78E1B8D0">
            <w:pPr>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0" w:firstLineChars="0"/>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10</w:t>
            </w:r>
            <w:r>
              <w:rPr>
                <w:rFonts w:hint="eastAsia" w:ascii="Times New Roman" w:hAnsi="Times New Roman" w:eastAsia="宋体"/>
                <w:b/>
                <w:bCs/>
                <w:color w:val="000000" w:themeColor="text1"/>
                <w:kern w:val="0"/>
                <w:szCs w:val="21"/>
                <w:highlight w:val="none"/>
                <w14:textFill>
                  <w14:solidFill>
                    <w14:schemeClr w14:val="tx1"/>
                  </w14:solidFill>
                </w14:textFill>
              </w:rPr>
              <w:t xml:space="preserve"> </w:t>
            </w:r>
            <w:r>
              <w:rPr>
                <w:rFonts w:ascii="Times New Roman" w:hAnsi="Times New Roman" w:eastAsia="宋体"/>
                <w:b/>
                <w:bCs/>
                <w:color w:val="000000" w:themeColor="text1"/>
                <w:kern w:val="0"/>
                <w:szCs w:val="21"/>
                <w:highlight w:val="none"/>
                <w14:textFill>
                  <w14:solidFill>
                    <w14:schemeClr w14:val="tx1"/>
                  </w14:solidFill>
                </w14:textFill>
              </w:rPr>
              <w:t xml:space="preserve">   </w:t>
            </w:r>
            <w:r>
              <w:rPr>
                <w:rFonts w:hint="eastAsia" w:ascii="Times New Roman" w:hAnsi="Times New Roman" w:eastAsia="宋体"/>
                <w:b/>
                <w:bCs/>
                <w:color w:val="000000" w:themeColor="text1"/>
                <w:kern w:val="0"/>
                <w:szCs w:val="21"/>
                <w:highlight w:val="none"/>
                <w:lang w:eastAsia="zh-CN"/>
                <w14:textFill>
                  <w14:solidFill>
                    <w14:schemeClr w14:val="tx1"/>
                  </w14:solidFill>
                </w14:textFill>
              </w:rPr>
              <w:t>水稳基层材料</w:t>
            </w:r>
            <w:r>
              <w:rPr>
                <w:rFonts w:ascii="Times New Roman" w:hAnsi="Times New Roman" w:eastAsia="宋体"/>
                <w:b/>
                <w:bCs/>
                <w:color w:val="000000" w:themeColor="text1"/>
                <w:kern w:val="0"/>
                <w:szCs w:val="21"/>
                <w:highlight w:val="none"/>
                <w14:textFill>
                  <w14:solidFill>
                    <w14:schemeClr w14:val="tx1"/>
                  </w14:solidFill>
                </w14:textFill>
              </w:rPr>
              <w:t>主要生产设备</w:t>
            </w:r>
          </w:p>
          <w:tbl>
            <w:tblPr>
              <w:tblStyle w:val="20"/>
              <w:tblW w:w="4932" w:type="pct"/>
              <w:jc w:val="center"/>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Layout w:type="fixed"/>
              <w:tblCellMar>
                <w:top w:w="0" w:type="dxa"/>
                <w:left w:w="108" w:type="dxa"/>
                <w:bottom w:w="0" w:type="dxa"/>
                <w:right w:w="108" w:type="dxa"/>
              </w:tblCellMar>
            </w:tblPr>
            <w:tblGrid>
              <w:gridCol w:w="924"/>
              <w:gridCol w:w="2006"/>
              <w:gridCol w:w="1595"/>
              <w:gridCol w:w="1506"/>
              <w:gridCol w:w="1901"/>
            </w:tblGrid>
            <w:tr w14:paraId="07E5491B">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1E6872C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序号</w:t>
                  </w:r>
                </w:p>
              </w:tc>
              <w:tc>
                <w:tcPr>
                  <w:tcW w:w="1264" w:type="pct"/>
                  <w:tcBorders>
                    <w:tl2br w:val="nil"/>
                    <w:tr2bl w:val="nil"/>
                  </w:tcBorders>
                  <w:vAlign w:val="center"/>
                </w:tcPr>
                <w:p w14:paraId="5940A44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设备名称</w:t>
                  </w:r>
                </w:p>
              </w:tc>
              <w:tc>
                <w:tcPr>
                  <w:tcW w:w="1005" w:type="pct"/>
                  <w:tcBorders>
                    <w:tl2br w:val="nil"/>
                    <w:tr2bl w:val="nil"/>
                  </w:tcBorders>
                  <w:vAlign w:val="center"/>
                </w:tcPr>
                <w:p w14:paraId="7EB405E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数量（台）</w:t>
                  </w:r>
                </w:p>
              </w:tc>
              <w:tc>
                <w:tcPr>
                  <w:tcW w:w="949" w:type="pct"/>
                  <w:tcBorders>
                    <w:tl2br w:val="nil"/>
                    <w:tr2bl w:val="nil"/>
                  </w:tcBorders>
                  <w:vAlign w:val="center"/>
                </w:tcPr>
                <w:p w14:paraId="43081F7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规格</w:t>
                  </w:r>
                </w:p>
              </w:tc>
              <w:tc>
                <w:tcPr>
                  <w:tcW w:w="1198" w:type="pct"/>
                  <w:tcBorders>
                    <w:tl2br w:val="nil"/>
                    <w:tr2bl w:val="nil"/>
                  </w:tcBorders>
                  <w:vAlign w:val="center"/>
                </w:tcPr>
                <w:p w14:paraId="2A2B3426">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b/>
                      <w:bCs/>
                      <w:color w:val="000000" w:themeColor="text1"/>
                      <w:kern w:val="0"/>
                      <w:szCs w:val="21"/>
                      <w:highlight w:val="none"/>
                      <w:lang w:eastAsia="zh-CN"/>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备注</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w:t>
                  </w:r>
                </w:p>
              </w:tc>
            </w:tr>
            <w:tr w14:paraId="70F394B0">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1BDD471F">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1</w:t>
                  </w:r>
                </w:p>
              </w:tc>
              <w:tc>
                <w:tcPr>
                  <w:tcW w:w="1264" w:type="pct"/>
                  <w:tcBorders>
                    <w:tl2br w:val="nil"/>
                    <w:tr2bl w:val="nil"/>
                  </w:tcBorders>
                  <w:vAlign w:val="center"/>
                </w:tcPr>
                <w:p w14:paraId="6FE0E481">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拌和楼</w:t>
                  </w:r>
                </w:p>
              </w:tc>
              <w:tc>
                <w:tcPr>
                  <w:tcW w:w="1005" w:type="pct"/>
                  <w:tcBorders>
                    <w:tl2br w:val="nil"/>
                    <w:tr2bl w:val="nil"/>
                  </w:tcBorders>
                  <w:vAlign w:val="center"/>
                </w:tcPr>
                <w:p w14:paraId="609F5FE6">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p>
              </w:tc>
              <w:tc>
                <w:tcPr>
                  <w:tcW w:w="949" w:type="pct"/>
                  <w:tcBorders>
                    <w:tl2br w:val="nil"/>
                    <w:tr2bl w:val="nil"/>
                  </w:tcBorders>
                  <w:vAlign w:val="center"/>
                </w:tcPr>
                <w:p w14:paraId="33C8ECEB">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WCQ600H</w:t>
                  </w:r>
                </w:p>
              </w:tc>
              <w:tc>
                <w:tcPr>
                  <w:tcW w:w="1198" w:type="pct"/>
                  <w:tcBorders>
                    <w:tl2br w:val="nil"/>
                    <w:tr2bl w:val="nil"/>
                  </w:tcBorders>
                  <w:vAlign w:val="center"/>
                </w:tcPr>
                <w:p w14:paraId="6A951C82">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default" w:ascii="Times New Roman" w:hAnsi="Times New Roman" w:eastAsia="宋体"/>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600t/h</w:t>
                  </w:r>
                </w:p>
              </w:tc>
            </w:tr>
            <w:tr w14:paraId="4D88C689">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5A7F20EB">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2</w:t>
                  </w:r>
                </w:p>
              </w:tc>
              <w:tc>
                <w:tcPr>
                  <w:tcW w:w="1264" w:type="pct"/>
                  <w:tcBorders>
                    <w:tl2br w:val="nil"/>
                    <w:tr2bl w:val="nil"/>
                  </w:tcBorders>
                  <w:vAlign w:val="center"/>
                </w:tcPr>
                <w:p w14:paraId="128870E4">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水泥筒仓</w:t>
                  </w:r>
                </w:p>
              </w:tc>
              <w:tc>
                <w:tcPr>
                  <w:tcW w:w="1005" w:type="pct"/>
                  <w:tcBorders>
                    <w:tl2br w:val="nil"/>
                    <w:tr2bl w:val="nil"/>
                  </w:tcBorders>
                  <w:vAlign w:val="center"/>
                </w:tcPr>
                <w:p w14:paraId="58834BFD">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w:t>
                  </w:r>
                </w:p>
              </w:tc>
              <w:tc>
                <w:tcPr>
                  <w:tcW w:w="949" w:type="pct"/>
                  <w:tcBorders>
                    <w:tl2br w:val="nil"/>
                    <w:tr2bl w:val="nil"/>
                  </w:tcBorders>
                  <w:vAlign w:val="center"/>
                </w:tcPr>
                <w:p w14:paraId="63B7C308">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100t</w:t>
                  </w:r>
                </w:p>
              </w:tc>
              <w:tc>
                <w:tcPr>
                  <w:tcW w:w="1198" w:type="pct"/>
                  <w:tcBorders>
                    <w:tl2br w:val="nil"/>
                    <w:tr2bl w:val="nil"/>
                  </w:tcBorders>
                  <w:vAlign w:val="center"/>
                </w:tcPr>
                <w:p w14:paraId="3787A8A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575E3301">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76BE5EC7">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3</w:t>
                  </w:r>
                </w:p>
              </w:tc>
              <w:tc>
                <w:tcPr>
                  <w:tcW w:w="1264" w:type="pct"/>
                  <w:tcBorders>
                    <w:tl2br w:val="nil"/>
                    <w:tr2bl w:val="nil"/>
                  </w:tcBorders>
                  <w:vAlign w:val="center"/>
                </w:tcPr>
                <w:p w14:paraId="6644E87B">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配料仓</w:t>
                  </w:r>
                </w:p>
              </w:tc>
              <w:tc>
                <w:tcPr>
                  <w:tcW w:w="1005" w:type="pct"/>
                  <w:tcBorders>
                    <w:tl2br w:val="nil"/>
                    <w:tr2bl w:val="nil"/>
                  </w:tcBorders>
                  <w:vAlign w:val="center"/>
                </w:tcPr>
                <w:p w14:paraId="26921D06">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4</w:t>
                  </w:r>
                </w:p>
              </w:tc>
              <w:tc>
                <w:tcPr>
                  <w:tcW w:w="949" w:type="pct"/>
                  <w:tcBorders>
                    <w:tl2br w:val="nil"/>
                    <w:tr2bl w:val="nil"/>
                  </w:tcBorders>
                  <w:vAlign w:val="center"/>
                </w:tcPr>
                <w:p w14:paraId="1568C18D">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198" w:type="pct"/>
                  <w:tcBorders>
                    <w:tl2br w:val="nil"/>
                    <w:tr2bl w:val="nil"/>
                  </w:tcBorders>
                  <w:vAlign w:val="center"/>
                </w:tcPr>
                <w:p w14:paraId="65AE249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17961A01">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3B3923F0">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4</w:t>
                  </w:r>
                </w:p>
              </w:tc>
              <w:tc>
                <w:tcPr>
                  <w:tcW w:w="1264" w:type="pct"/>
                  <w:tcBorders>
                    <w:tl2br w:val="nil"/>
                    <w:tr2bl w:val="nil"/>
                  </w:tcBorders>
                  <w:vAlign w:val="center"/>
                </w:tcPr>
                <w:p w14:paraId="29105DDB">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装载机</w:t>
                  </w:r>
                </w:p>
              </w:tc>
              <w:tc>
                <w:tcPr>
                  <w:tcW w:w="1005" w:type="pct"/>
                  <w:tcBorders>
                    <w:tl2br w:val="nil"/>
                    <w:tr2bl w:val="nil"/>
                  </w:tcBorders>
                  <w:vAlign w:val="center"/>
                </w:tcPr>
                <w:p w14:paraId="5D3F0360">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p>
              </w:tc>
              <w:tc>
                <w:tcPr>
                  <w:tcW w:w="949" w:type="pct"/>
                  <w:tcBorders>
                    <w:tl2br w:val="nil"/>
                    <w:tr2bl w:val="nil"/>
                  </w:tcBorders>
                  <w:vAlign w:val="center"/>
                </w:tcPr>
                <w:p w14:paraId="042420E8">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198" w:type="pct"/>
                  <w:tcBorders>
                    <w:tl2br w:val="nil"/>
                    <w:tr2bl w:val="nil"/>
                  </w:tcBorders>
                  <w:vAlign w:val="center"/>
                </w:tcPr>
                <w:p w14:paraId="43371ED3">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r w14:paraId="189716BF">
              <w:tblPrEx>
                <w:tblBorders>
                  <w:top w:val="single" w:color="auto" w:sz="12" w:space="0"/>
                  <w:left w:val="none" w:color="auto" w:sz="0" w:space="0"/>
                  <w:bottom w:val="single" w:color="auto" w:sz="12" w:space="0"/>
                  <w:right w:val="none" w:color="auto" w:sz="0" w:space="0"/>
                  <w:insideH w:val="single" w:color="auto" w:sz="6" w:space="0"/>
                  <w:insideV w:val="single" w:color="auto" w:sz="4" w:space="0"/>
                </w:tblBorders>
                <w:tblCellMar>
                  <w:top w:w="0" w:type="dxa"/>
                  <w:left w:w="108" w:type="dxa"/>
                  <w:bottom w:w="0" w:type="dxa"/>
                  <w:right w:w="108" w:type="dxa"/>
                </w:tblCellMar>
              </w:tblPrEx>
              <w:trPr>
                <w:trHeight w:val="397" w:hRule="atLeast"/>
                <w:jc w:val="center"/>
              </w:trPr>
              <w:tc>
                <w:tcPr>
                  <w:tcW w:w="582" w:type="pct"/>
                  <w:tcBorders>
                    <w:tl2br w:val="nil"/>
                    <w:tr2bl w:val="nil"/>
                  </w:tcBorders>
                  <w:vAlign w:val="center"/>
                </w:tcPr>
                <w:p w14:paraId="67BB5E5D">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5</w:t>
                  </w:r>
                </w:p>
              </w:tc>
              <w:tc>
                <w:tcPr>
                  <w:tcW w:w="1264" w:type="pct"/>
                  <w:tcBorders>
                    <w:tl2br w:val="nil"/>
                    <w:tr2bl w:val="nil"/>
                  </w:tcBorders>
                  <w:vAlign w:val="center"/>
                </w:tcPr>
                <w:p w14:paraId="2D8E63C5">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自卸汽车</w:t>
                  </w:r>
                </w:p>
              </w:tc>
              <w:tc>
                <w:tcPr>
                  <w:tcW w:w="1005" w:type="pct"/>
                  <w:tcBorders>
                    <w:tl2br w:val="nil"/>
                    <w:tr2bl w:val="nil"/>
                  </w:tcBorders>
                  <w:vAlign w:val="center"/>
                </w:tcPr>
                <w:p w14:paraId="6D128C9E">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w:t>
                  </w:r>
                </w:p>
              </w:tc>
              <w:tc>
                <w:tcPr>
                  <w:tcW w:w="949" w:type="pct"/>
                  <w:tcBorders>
                    <w:tl2br w:val="nil"/>
                    <w:tr2bl w:val="nil"/>
                  </w:tcBorders>
                  <w:vAlign w:val="center"/>
                </w:tcPr>
                <w:p w14:paraId="2B038311">
                  <w:pPr>
                    <w:keepNext w:val="0"/>
                    <w:keepLines w:val="0"/>
                    <w:pageBreakBefore w:val="0"/>
                    <w:widowControl w:val="0"/>
                    <w:kinsoku/>
                    <w:wordWrap/>
                    <w:overflowPunct/>
                    <w:topLinePunct w:val="0"/>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1198" w:type="pct"/>
                  <w:tcBorders>
                    <w:tl2br w:val="nil"/>
                    <w:tr2bl w:val="nil"/>
                  </w:tcBorders>
                  <w:vAlign w:val="center"/>
                </w:tcPr>
                <w:p w14:paraId="012A81C1">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Times New Roman" w:hAnsi="Times New Roman" w:eastAsia="宋体"/>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w:t>
                  </w:r>
                </w:p>
              </w:tc>
            </w:tr>
          </w:tbl>
          <w:p w14:paraId="4071384B">
            <w:pPr>
              <w:keepNext w:val="0"/>
              <w:keepLines w:val="0"/>
              <w:pageBreakBefore w:val="0"/>
              <w:widowControl w:val="0"/>
              <w:kinsoku/>
              <w:wordWrap/>
              <w:overflowPunct/>
              <w:topLinePunct w:val="0"/>
              <w:autoSpaceDE w:val="0"/>
              <w:autoSpaceDN w:val="0"/>
              <w:bidi w:val="0"/>
              <w:adjustRightInd w:val="0"/>
              <w:snapToGrid w:val="0"/>
              <w:spacing w:before="157" w:beforeLines="50" w:line="240" w:lineRule="auto"/>
              <w:ind w:firstLine="0" w:firstLineChars="0"/>
              <w:jc w:val="center"/>
              <w:textAlignment w:val="auto"/>
              <w:rPr>
                <w:rFonts w:hint="default" w:ascii="Times New Roman" w:hAnsi="Times New Roman" w:eastAsia="宋体" w:cs="Times New Roman"/>
                <w:b/>
                <w:bCs/>
                <w:color w:val="000000" w:themeColor="text1"/>
                <w:kern w:val="0"/>
                <w:sz w:val="18"/>
                <w:szCs w:val="18"/>
                <w:highlight w:val="none"/>
                <w:lang w:val="en-US"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表</w:t>
            </w:r>
            <w:r>
              <w:rPr>
                <w:rFonts w:hint="eastAsia" w:ascii="Times New Roman" w:hAnsi="Times New Roman" w:eastAsia="宋体" w:cs="Times New Roman"/>
                <w:b/>
                <w:bCs/>
                <w:color w:val="000000" w:themeColor="text1"/>
                <w:kern w:val="0"/>
                <w:sz w:val="21"/>
                <w:szCs w:val="21"/>
                <w:highlight w:val="none"/>
                <w:lang w:val="en-US" w:eastAsia="zh-CN"/>
                <w14:textFill>
                  <w14:solidFill>
                    <w14:schemeClr w14:val="tx1"/>
                  </w14:solidFill>
                </w14:textFill>
              </w:rPr>
              <w:t xml:space="preserve">2-11    </w:t>
            </w: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项目</w:t>
            </w:r>
            <w:r>
              <w:rPr>
                <w:rFonts w:hint="eastAsia" w:ascii="Times New Roman" w:hAnsi="Times New Roman" w:eastAsia="宋体" w:cs="Times New Roman"/>
                <w:b/>
                <w:bCs/>
                <w:color w:val="000000" w:themeColor="text1"/>
                <w:kern w:val="0"/>
                <w:sz w:val="21"/>
                <w:szCs w:val="21"/>
                <w:highlight w:val="none"/>
                <w:lang w:val="en-US" w:eastAsia="zh-CN"/>
                <w14:textFill>
                  <w14:solidFill>
                    <w14:schemeClr w14:val="tx1"/>
                  </w14:solidFill>
                </w14:textFill>
              </w:rPr>
              <w:t>混凝土生产</w:t>
            </w: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主要设施设备</w:t>
            </w:r>
          </w:p>
          <w:tbl>
            <w:tblPr>
              <w:tblStyle w:val="20"/>
              <w:tblW w:w="804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02"/>
              <w:gridCol w:w="1311"/>
              <w:gridCol w:w="1573"/>
              <w:gridCol w:w="1851"/>
              <w:gridCol w:w="611"/>
              <w:gridCol w:w="623"/>
              <w:gridCol w:w="735"/>
              <w:gridCol w:w="735"/>
            </w:tblGrid>
            <w:tr w14:paraId="750F67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602" w:type="dxa"/>
                  <w:vMerge w:val="restart"/>
                  <w:noWrap w:val="0"/>
                  <w:vAlign w:val="center"/>
                </w:tcPr>
                <w:p w14:paraId="6496E1A0">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序号</w:t>
                  </w:r>
                </w:p>
              </w:tc>
              <w:tc>
                <w:tcPr>
                  <w:tcW w:w="2884" w:type="dxa"/>
                  <w:gridSpan w:val="2"/>
                  <w:vMerge w:val="restart"/>
                  <w:noWrap w:val="0"/>
                  <w:vAlign w:val="center"/>
                </w:tcPr>
                <w:p w14:paraId="6F389933">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设备名称</w:t>
                  </w:r>
                </w:p>
              </w:tc>
              <w:tc>
                <w:tcPr>
                  <w:tcW w:w="1851" w:type="dxa"/>
                  <w:vMerge w:val="restart"/>
                  <w:noWrap w:val="0"/>
                  <w:vAlign w:val="center"/>
                </w:tcPr>
                <w:p w14:paraId="061FE261">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规格</w:t>
                  </w:r>
                </w:p>
              </w:tc>
              <w:tc>
                <w:tcPr>
                  <w:tcW w:w="611" w:type="dxa"/>
                  <w:vMerge w:val="restart"/>
                  <w:noWrap w:val="0"/>
                  <w:vAlign w:val="center"/>
                </w:tcPr>
                <w:p w14:paraId="5711ABAF">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单位</w:t>
                  </w:r>
                </w:p>
              </w:tc>
              <w:tc>
                <w:tcPr>
                  <w:tcW w:w="623" w:type="dxa"/>
                  <w:vMerge w:val="restart"/>
                  <w:noWrap w:val="0"/>
                  <w:vAlign w:val="center"/>
                </w:tcPr>
                <w:p w14:paraId="5B66925F">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单条机组设置</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数量</w:t>
                  </w:r>
                </w:p>
              </w:tc>
              <w:tc>
                <w:tcPr>
                  <w:tcW w:w="1470" w:type="dxa"/>
                  <w:gridSpan w:val="2"/>
                  <w:noWrap w:val="0"/>
                  <w:vAlign w:val="center"/>
                </w:tcPr>
                <w:p w14:paraId="40A3788A">
                  <w:pPr>
                    <w:widowControl/>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备注</w:t>
                  </w:r>
                </w:p>
              </w:tc>
            </w:tr>
            <w:tr w14:paraId="7444C6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39" w:hRule="atLeast"/>
                <w:jc w:val="center"/>
              </w:trPr>
              <w:tc>
                <w:tcPr>
                  <w:tcW w:w="602" w:type="dxa"/>
                  <w:vMerge w:val="continue"/>
                  <w:noWrap w:val="0"/>
                  <w:vAlign w:val="center"/>
                </w:tcPr>
                <w:p w14:paraId="513E4360">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2884" w:type="dxa"/>
                  <w:gridSpan w:val="2"/>
                  <w:vMerge w:val="continue"/>
                  <w:noWrap w:val="0"/>
                  <w:vAlign w:val="center"/>
                </w:tcPr>
                <w:p w14:paraId="120C564E">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51" w:type="dxa"/>
                  <w:vMerge w:val="continue"/>
                  <w:noWrap w:val="0"/>
                  <w:vAlign w:val="center"/>
                </w:tcPr>
                <w:p w14:paraId="26DE1F9A">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611" w:type="dxa"/>
                  <w:vMerge w:val="continue"/>
                  <w:noWrap w:val="0"/>
                  <w:vAlign w:val="center"/>
                </w:tcPr>
                <w:p w14:paraId="391343C8">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623" w:type="dxa"/>
                  <w:vMerge w:val="continue"/>
                  <w:noWrap w:val="0"/>
                  <w:vAlign w:val="center"/>
                </w:tcPr>
                <w:p w14:paraId="66A17AAF">
                  <w:pPr>
                    <w:widowControl/>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735" w:type="dxa"/>
                  <w:noWrap w:val="0"/>
                  <w:vAlign w:val="center"/>
                </w:tcPr>
                <w:p w14:paraId="64C5E509">
                  <w:pPr>
                    <w:widowControl/>
                    <w:jc w:val="cente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机组</w:t>
                  </w:r>
                </w:p>
                <w:p w14:paraId="44EB104B">
                  <w:pPr>
                    <w:widowControl/>
                    <w:jc w:val="cente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数量</w:t>
                  </w:r>
                </w:p>
              </w:tc>
              <w:tc>
                <w:tcPr>
                  <w:tcW w:w="735" w:type="dxa"/>
                  <w:noWrap w:val="0"/>
                  <w:vAlign w:val="center"/>
                </w:tcPr>
                <w:p w14:paraId="02BE651F">
                  <w:pPr>
                    <w:widowControl/>
                    <w:jc w:val="cente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全厂设备总数</w:t>
                  </w:r>
                </w:p>
              </w:tc>
            </w:tr>
            <w:tr w14:paraId="605F2A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641EFAE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w:t>
                  </w:r>
                </w:p>
              </w:tc>
              <w:tc>
                <w:tcPr>
                  <w:tcW w:w="1311" w:type="dxa"/>
                  <w:vMerge w:val="restart"/>
                  <w:noWrap w:val="0"/>
                  <w:vAlign w:val="center"/>
                </w:tcPr>
                <w:p w14:paraId="19438C82">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搅拌</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机</w:t>
                  </w:r>
                </w:p>
              </w:tc>
              <w:tc>
                <w:tcPr>
                  <w:tcW w:w="1573" w:type="dxa"/>
                  <w:noWrap w:val="0"/>
                  <w:vAlign w:val="center"/>
                </w:tcPr>
                <w:p w14:paraId="79134A0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搅拌装置</w:t>
                  </w:r>
                </w:p>
              </w:tc>
              <w:tc>
                <w:tcPr>
                  <w:tcW w:w="1851" w:type="dxa"/>
                  <w:noWrap w:val="0"/>
                  <w:vAlign w:val="center"/>
                </w:tcPr>
                <w:p w14:paraId="4A9AF382">
                  <w:pPr>
                    <w:widowControl/>
                    <w:jc w:val="center"/>
                    <w:rPr>
                      <w:rFonts w:hint="default" w:ascii="Times New Roman" w:hAnsi="Times New Roman" w:eastAsia="宋体" w:cs="Times New Roman"/>
                      <w:color w:val="000000" w:themeColor="text1"/>
                      <w:kern w:val="0"/>
                      <w:sz w:val="21"/>
                      <w:szCs w:val="21"/>
                      <w:highlight w:val="none"/>
                      <w:lang w:val="en-US"/>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HS180</w:t>
                  </w:r>
                </w:p>
              </w:tc>
              <w:tc>
                <w:tcPr>
                  <w:tcW w:w="611" w:type="dxa"/>
                  <w:noWrap w:val="0"/>
                  <w:vAlign w:val="center"/>
                </w:tcPr>
                <w:p w14:paraId="5269B6D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586B3B1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restart"/>
                  <w:noWrap w:val="0"/>
                  <w:vAlign w:val="center"/>
                </w:tcPr>
                <w:p w14:paraId="12F0068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0E3D539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41B440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104F98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FE81B8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3A825A3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电机</w:t>
                  </w:r>
                </w:p>
              </w:tc>
              <w:tc>
                <w:tcPr>
                  <w:tcW w:w="1851" w:type="dxa"/>
                  <w:noWrap w:val="0"/>
                  <w:vAlign w:val="center"/>
                </w:tcPr>
                <w:p w14:paraId="03089A2D">
                  <w:pPr>
                    <w:widowControl/>
                    <w:jc w:val="cente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611" w:type="dxa"/>
                  <w:noWrap w:val="0"/>
                  <w:vAlign w:val="center"/>
                </w:tcPr>
                <w:p w14:paraId="0A2FCD8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623C989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3706A29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52579D8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034F38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3BC452A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C03372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5F280C0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减速机</w:t>
                  </w:r>
                </w:p>
              </w:tc>
              <w:tc>
                <w:tcPr>
                  <w:tcW w:w="1851" w:type="dxa"/>
                  <w:noWrap w:val="0"/>
                  <w:vAlign w:val="center"/>
                </w:tcPr>
                <w:p w14:paraId="25003E4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3C9180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0D6EBF8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6203ECE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DF6358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1617F3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33150C2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E75D18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357FDFA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卸料装置</w:t>
                  </w:r>
                </w:p>
              </w:tc>
              <w:tc>
                <w:tcPr>
                  <w:tcW w:w="1851" w:type="dxa"/>
                  <w:noWrap w:val="0"/>
                  <w:vAlign w:val="center"/>
                </w:tcPr>
                <w:p w14:paraId="01BF408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带手动泵</w:t>
                  </w:r>
                </w:p>
              </w:tc>
              <w:tc>
                <w:tcPr>
                  <w:tcW w:w="611" w:type="dxa"/>
                  <w:noWrap w:val="0"/>
                  <w:vAlign w:val="center"/>
                </w:tcPr>
                <w:p w14:paraId="4F5087D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791E7F7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59B3D2F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037028A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1AB454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54" w:hRule="atLeast"/>
                <w:jc w:val="center"/>
              </w:trPr>
              <w:tc>
                <w:tcPr>
                  <w:tcW w:w="602" w:type="dxa"/>
                  <w:vMerge w:val="continue"/>
                  <w:noWrap w:val="0"/>
                  <w:vAlign w:val="center"/>
                </w:tcPr>
                <w:p w14:paraId="67BA507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1F39C6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19B6BCE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润滑系统</w:t>
                  </w:r>
                </w:p>
              </w:tc>
              <w:tc>
                <w:tcPr>
                  <w:tcW w:w="1851" w:type="dxa"/>
                  <w:noWrap w:val="0"/>
                  <w:vAlign w:val="center"/>
                </w:tcPr>
                <w:p w14:paraId="2DCF349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油罐、电动泵、过滤器、压力表、分配器</w:t>
                  </w:r>
                </w:p>
              </w:tc>
              <w:tc>
                <w:tcPr>
                  <w:tcW w:w="611" w:type="dxa"/>
                  <w:noWrap w:val="0"/>
                  <w:vAlign w:val="center"/>
                </w:tcPr>
                <w:p w14:paraId="2FD550B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304B5B8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0B511A4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6AE9D0E0">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5AABDE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259FD9D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2</w:t>
                  </w:r>
                </w:p>
              </w:tc>
              <w:tc>
                <w:tcPr>
                  <w:tcW w:w="1311" w:type="dxa"/>
                  <w:vMerge w:val="restart"/>
                  <w:noWrap w:val="0"/>
                  <w:vAlign w:val="center"/>
                </w:tcPr>
                <w:p w14:paraId="6A22F56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配料</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装置</w:t>
                  </w:r>
                </w:p>
              </w:tc>
              <w:tc>
                <w:tcPr>
                  <w:tcW w:w="1573" w:type="dxa"/>
                  <w:noWrap w:val="0"/>
                  <w:vAlign w:val="center"/>
                </w:tcPr>
                <w:p w14:paraId="7E78659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骨料仓</w:t>
                  </w:r>
                </w:p>
              </w:tc>
              <w:tc>
                <w:tcPr>
                  <w:tcW w:w="1851" w:type="dxa"/>
                  <w:noWrap w:val="0"/>
                  <w:vAlign w:val="center"/>
                </w:tcPr>
                <w:p w14:paraId="1735587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2.4m</w:t>
                  </w:r>
                  <w:r>
                    <w:rPr>
                      <w:rFonts w:hint="default" w:ascii="Times New Roman" w:hAnsi="Times New Roman" w:eastAsia="宋体" w:cs="Times New Roman"/>
                      <w:color w:val="000000" w:themeColor="text1"/>
                      <w:kern w:val="0"/>
                      <w:sz w:val="21"/>
                      <w:szCs w:val="21"/>
                      <w:highlight w:val="none"/>
                      <w:vertAlign w:val="superscript"/>
                      <w14:textFill>
                        <w14:solidFill>
                          <w14:schemeClr w14:val="tx1"/>
                        </w14:solidFill>
                      </w14:textFill>
                    </w:rPr>
                    <w:t>3</w:t>
                  </w:r>
                </w:p>
              </w:tc>
              <w:tc>
                <w:tcPr>
                  <w:tcW w:w="611" w:type="dxa"/>
                  <w:noWrap w:val="0"/>
                  <w:vAlign w:val="center"/>
                </w:tcPr>
                <w:p w14:paraId="123CCF7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0C2FB46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w:t>
                  </w:r>
                </w:p>
              </w:tc>
              <w:tc>
                <w:tcPr>
                  <w:tcW w:w="735" w:type="dxa"/>
                  <w:vMerge w:val="restart"/>
                  <w:noWrap w:val="0"/>
                  <w:vAlign w:val="center"/>
                </w:tcPr>
                <w:p w14:paraId="794EB461">
                  <w:pPr>
                    <w:widowControl/>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7F398AA8">
                  <w:pPr>
                    <w:widowControl/>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10</w:t>
                  </w:r>
                </w:p>
              </w:tc>
            </w:tr>
            <w:tr w14:paraId="2F528F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512A904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95B2EB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17771BB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计量仓</w:t>
                  </w:r>
                </w:p>
              </w:tc>
              <w:tc>
                <w:tcPr>
                  <w:tcW w:w="1851" w:type="dxa"/>
                  <w:noWrap w:val="0"/>
                  <w:vAlign w:val="center"/>
                </w:tcPr>
                <w:p w14:paraId="2CD2BB6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1.2m</w:t>
                  </w:r>
                  <w:r>
                    <w:rPr>
                      <w:rFonts w:hint="default" w:ascii="Times New Roman" w:hAnsi="Times New Roman" w:eastAsia="宋体" w:cs="Times New Roman"/>
                      <w:color w:val="000000" w:themeColor="text1"/>
                      <w:kern w:val="0"/>
                      <w:sz w:val="21"/>
                      <w:szCs w:val="21"/>
                      <w:highlight w:val="none"/>
                      <w:vertAlign w:val="superscript"/>
                      <w14:textFill>
                        <w14:solidFill>
                          <w14:schemeClr w14:val="tx1"/>
                        </w14:solidFill>
                      </w14:textFill>
                    </w:rPr>
                    <w:t>3</w:t>
                  </w:r>
                </w:p>
              </w:tc>
              <w:tc>
                <w:tcPr>
                  <w:tcW w:w="611" w:type="dxa"/>
                  <w:noWrap w:val="0"/>
                  <w:vAlign w:val="center"/>
                </w:tcPr>
                <w:p w14:paraId="260D1DD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53BC2FF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w:t>
                  </w:r>
                </w:p>
              </w:tc>
              <w:tc>
                <w:tcPr>
                  <w:tcW w:w="735" w:type="dxa"/>
                  <w:vMerge w:val="continue"/>
                  <w:noWrap w:val="0"/>
                  <w:vAlign w:val="center"/>
                </w:tcPr>
                <w:p w14:paraId="1B639F6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0446DE2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10</w:t>
                  </w:r>
                </w:p>
              </w:tc>
            </w:tr>
            <w:tr w14:paraId="7889B5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602" w:type="dxa"/>
                  <w:vMerge w:val="continue"/>
                  <w:noWrap w:val="0"/>
                  <w:vAlign w:val="center"/>
                </w:tcPr>
                <w:p w14:paraId="67F3220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FCEC13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6076A39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皮带</w:t>
                  </w:r>
                </w:p>
              </w:tc>
              <w:tc>
                <w:tcPr>
                  <w:tcW w:w="1851" w:type="dxa"/>
                  <w:noWrap w:val="0"/>
                  <w:vAlign w:val="center"/>
                </w:tcPr>
                <w:p w14:paraId="4FF571F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800mm</w:t>
                  </w:r>
                </w:p>
              </w:tc>
              <w:tc>
                <w:tcPr>
                  <w:tcW w:w="611" w:type="dxa"/>
                  <w:noWrap w:val="0"/>
                  <w:vAlign w:val="center"/>
                </w:tcPr>
                <w:p w14:paraId="40DC49A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条</w:t>
                  </w:r>
                </w:p>
              </w:tc>
              <w:tc>
                <w:tcPr>
                  <w:tcW w:w="623" w:type="dxa"/>
                  <w:noWrap w:val="0"/>
                  <w:vAlign w:val="center"/>
                </w:tcPr>
                <w:p w14:paraId="0DFD8806">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0881E0B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A8016F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B63E7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602" w:type="dxa"/>
                  <w:vMerge w:val="continue"/>
                  <w:noWrap w:val="0"/>
                  <w:vAlign w:val="center"/>
                </w:tcPr>
                <w:p w14:paraId="55B6A5C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26220E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E5A7D7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驱动装置</w:t>
                  </w:r>
                </w:p>
              </w:tc>
              <w:tc>
                <w:tcPr>
                  <w:tcW w:w="1851" w:type="dxa"/>
                  <w:noWrap w:val="0"/>
                  <w:vAlign w:val="center"/>
                </w:tcPr>
                <w:p w14:paraId="33D2A8B6">
                  <w:pPr>
                    <w:widowControl/>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611" w:type="dxa"/>
                  <w:noWrap w:val="0"/>
                  <w:vAlign w:val="center"/>
                </w:tcPr>
                <w:p w14:paraId="795CE57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12367E0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269597C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88AE00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3BBE11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780BD4B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26E3E1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15CA0CF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气缸</w:t>
                  </w:r>
                </w:p>
              </w:tc>
              <w:tc>
                <w:tcPr>
                  <w:tcW w:w="1851" w:type="dxa"/>
                  <w:noWrap w:val="0"/>
                  <w:vAlign w:val="center"/>
                </w:tcPr>
                <w:p w14:paraId="1BC3380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Sc100*250</w:t>
                  </w:r>
                </w:p>
              </w:tc>
              <w:tc>
                <w:tcPr>
                  <w:tcW w:w="611" w:type="dxa"/>
                  <w:noWrap w:val="0"/>
                  <w:vAlign w:val="center"/>
                </w:tcPr>
                <w:p w14:paraId="7EE0EAC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0D023F6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735" w:type="dxa"/>
                  <w:vMerge w:val="continue"/>
                  <w:noWrap w:val="0"/>
                  <w:vAlign w:val="center"/>
                </w:tcPr>
                <w:p w14:paraId="5052AFB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A4F2B4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24</w:t>
                  </w:r>
                </w:p>
              </w:tc>
            </w:tr>
            <w:tr w14:paraId="7D51B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2C198F3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B6D7BB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559F5C6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振动器</w:t>
                  </w:r>
                </w:p>
              </w:tc>
              <w:tc>
                <w:tcPr>
                  <w:tcW w:w="1851" w:type="dxa"/>
                  <w:noWrap w:val="0"/>
                  <w:vAlign w:val="center"/>
                </w:tcPr>
                <w:p w14:paraId="30B2D33B">
                  <w:pPr>
                    <w:widowControl/>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611" w:type="dxa"/>
                  <w:noWrap w:val="0"/>
                  <w:vAlign w:val="center"/>
                </w:tcPr>
                <w:p w14:paraId="48046F3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2F1C1FF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c>
                <w:tcPr>
                  <w:tcW w:w="735" w:type="dxa"/>
                  <w:vMerge w:val="continue"/>
                  <w:noWrap w:val="0"/>
                  <w:vAlign w:val="center"/>
                </w:tcPr>
                <w:p w14:paraId="43A3A14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2D6CD20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r>
            <w:tr w14:paraId="07E4B7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01A9640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2D84F0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713C2E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承重传感器</w:t>
                  </w:r>
                </w:p>
              </w:tc>
              <w:tc>
                <w:tcPr>
                  <w:tcW w:w="1851" w:type="dxa"/>
                  <w:noWrap w:val="0"/>
                  <w:vAlign w:val="center"/>
                </w:tcPr>
                <w:p w14:paraId="2C923ED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1000kg</w:t>
                  </w:r>
                </w:p>
              </w:tc>
              <w:tc>
                <w:tcPr>
                  <w:tcW w:w="611" w:type="dxa"/>
                  <w:noWrap w:val="0"/>
                  <w:vAlign w:val="center"/>
                </w:tcPr>
                <w:p w14:paraId="35360D7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只</w:t>
                  </w:r>
                </w:p>
              </w:tc>
              <w:tc>
                <w:tcPr>
                  <w:tcW w:w="623" w:type="dxa"/>
                  <w:noWrap w:val="0"/>
                  <w:vAlign w:val="center"/>
                </w:tcPr>
                <w:p w14:paraId="7564D67D">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735" w:type="dxa"/>
                  <w:vMerge w:val="continue"/>
                  <w:noWrap w:val="0"/>
                  <w:vAlign w:val="center"/>
                </w:tcPr>
                <w:p w14:paraId="2CA15F9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04A5B67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24</w:t>
                  </w:r>
                </w:p>
              </w:tc>
            </w:tr>
            <w:tr w14:paraId="3F227A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2F97C2F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3</w:t>
                  </w:r>
                </w:p>
              </w:tc>
              <w:tc>
                <w:tcPr>
                  <w:tcW w:w="1311" w:type="dxa"/>
                  <w:vMerge w:val="restart"/>
                  <w:noWrap w:val="0"/>
                  <w:vAlign w:val="center"/>
                </w:tcPr>
                <w:p w14:paraId="21103F1E">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配料传送</w:t>
                  </w:r>
                </w:p>
                <w:p w14:paraId="041E12B4">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装置</w:t>
                  </w:r>
                </w:p>
              </w:tc>
              <w:tc>
                <w:tcPr>
                  <w:tcW w:w="1573" w:type="dxa"/>
                  <w:noWrap w:val="0"/>
                  <w:vAlign w:val="center"/>
                </w:tcPr>
                <w:p w14:paraId="33D6CB1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电动滚筒</w:t>
                  </w:r>
                </w:p>
              </w:tc>
              <w:tc>
                <w:tcPr>
                  <w:tcW w:w="1851" w:type="dxa"/>
                  <w:noWrap w:val="0"/>
                  <w:vAlign w:val="center"/>
                </w:tcPr>
                <w:p w14:paraId="3F293DF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30kw</w:t>
                  </w:r>
                </w:p>
              </w:tc>
              <w:tc>
                <w:tcPr>
                  <w:tcW w:w="611" w:type="dxa"/>
                  <w:noWrap w:val="0"/>
                  <w:vAlign w:val="center"/>
                </w:tcPr>
                <w:p w14:paraId="7BC9EE2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45FA5B2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570C3D9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54EE0A6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364ED9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5A340C6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58E390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580170C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皮带</w:t>
                  </w:r>
                </w:p>
              </w:tc>
              <w:tc>
                <w:tcPr>
                  <w:tcW w:w="1851" w:type="dxa"/>
                  <w:noWrap w:val="0"/>
                  <w:vAlign w:val="center"/>
                </w:tcPr>
                <w:p w14:paraId="46C4648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3E85E00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条</w:t>
                  </w:r>
                </w:p>
              </w:tc>
              <w:tc>
                <w:tcPr>
                  <w:tcW w:w="623" w:type="dxa"/>
                  <w:noWrap w:val="0"/>
                  <w:vAlign w:val="center"/>
                </w:tcPr>
                <w:p w14:paraId="58D751F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08E5EDB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645240E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53B89D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321B426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4</w:t>
                  </w:r>
                </w:p>
              </w:tc>
              <w:tc>
                <w:tcPr>
                  <w:tcW w:w="1311" w:type="dxa"/>
                  <w:vMerge w:val="restart"/>
                  <w:noWrap w:val="0"/>
                  <w:vAlign w:val="center"/>
                </w:tcPr>
                <w:p w14:paraId="78089F3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搅拌主楼</w:t>
                  </w:r>
                </w:p>
              </w:tc>
              <w:tc>
                <w:tcPr>
                  <w:tcW w:w="1573" w:type="dxa"/>
                  <w:noWrap w:val="0"/>
                  <w:vAlign w:val="center"/>
                </w:tcPr>
                <w:p w14:paraId="6DE5273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主体框架结构</w:t>
                  </w:r>
                </w:p>
              </w:tc>
              <w:tc>
                <w:tcPr>
                  <w:tcW w:w="1851" w:type="dxa"/>
                  <w:noWrap w:val="0"/>
                  <w:vAlign w:val="center"/>
                </w:tcPr>
                <w:p w14:paraId="783D1F7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84C83A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5A12B73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373496C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82B1D5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5C8D0E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1AF9EEB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362B52B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625A2FC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双层平台</w:t>
                  </w:r>
                </w:p>
              </w:tc>
              <w:tc>
                <w:tcPr>
                  <w:tcW w:w="1851" w:type="dxa"/>
                  <w:noWrap w:val="0"/>
                  <w:vAlign w:val="center"/>
                </w:tcPr>
                <w:p w14:paraId="2DABF3B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06636B6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4E60626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499CC7A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C4A8D0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64A265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2DED0A7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61E8FF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9DAF7E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称量架</w:t>
                  </w:r>
                </w:p>
              </w:tc>
              <w:tc>
                <w:tcPr>
                  <w:tcW w:w="1851" w:type="dxa"/>
                  <w:noWrap w:val="0"/>
                  <w:vAlign w:val="center"/>
                </w:tcPr>
                <w:p w14:paraId="2C1A393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3320F79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0AC8408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76546A7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4750F4E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326A10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7F72C50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5</w:t>
                  </w:r>
                </w:p>
              </w:tc>
              <w:tc>
                <w:tcPr>
                  <w:tcW w:w="1311" w:type="dxa"/>
                  <w:vMerge w:val="restart"/>
                  <w:noWrap w:val="0"/>
                  <w:vAlign w:val="center"/>
                </w:tcPr>
                <w:p w14:paraId="4C354D4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污水-清水称量供给系统</w:t>
                  </w:r>
                </w:p>
              </w:tc>
              <w:tc>
                <w:tcPr>
                  <w:tcW w:w="1573" w:type="dxa"/>
                  <w:noWrap w:val="0"/>
                  <w:vAlign w:val="center"/>
                </w:tcPr>
                <w:p w14:paraId="09246A2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秤斗</w:t>
                  </w:r>
                </w:p>
              </w:tc>
              <w:tc>
                <w:tcPr>
                  <w:tcW w:w="1851" w:type="dxa"/>
                  <w:noWrap w:val="0"/>
                  <w:vAlign w:val="center"/>
                </w:tcPr>
                <w:p w14:paraId="5DFF5BF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499388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017A0A4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5AC5548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CC8D96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08B455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3E3F17D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5B31CF5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544CD0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传感器</w:t>
                  </w:r>
                </w:p>
              </w:tc>
              <w:tc>
                <w:tcPr>
                  <w:tcW w:w="1851" w:type="dxa"/>
                  <w:noWrap w:val="0"/>
                  <w:vAlign w:val="center"/>
                </w:tcPr>
                <w:p w14:paraId="3A17FB3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500kg</w:t>
                  </w:r>
                </w:p>
              </w:tc>
              <w:tc>
                <w:tcPr>
                  <w:tcW w:w="611" w:type="dxa"/>
                  <w:noWrap w:val="0"/>
                  <w:vAlign w:val="center"/>
                </w:tcPr>
                <w:p w14:paraId="5BDC31C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54F3002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c>
                <w:tcPr>
                  <w:tcW w:w="735" w:type="dxa"/>
                  <w:vMerge w:val="continue"/>
                  <w:noWrap w:val="0"/>
                  <w:vAlign w:val="center"/>
                </w:tcPr>
                <w:p w14:paraId="357233E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65DA159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r>
            <w:tr w14:paraId="175E33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7C1464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C2AC71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956A98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蝶阀</w:t>
                  </w:r>
                </w:p>
              </w:tc>
              <w:tc>
                <w:tcPr>
                  <w:tcW w:w="1851" w:type="dxa"/>
                  <w:noWrap w:val="0"/>
                  <w:vAlign w:val="center"/>
                </w:tcPr>
                <w:p w14:paraId="3B7205D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276D85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76A9CDE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6B4B5DE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27F61137">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79BDC3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7A073F7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624E84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69AB631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供水水泵</w:t>
                  </w:r>
                </w:p>
              </w:tc>
              <w:tc>
                <w:tcPr>
                  <w:tcW w:w="1851" w:type="dxa"/>
                  <w:noWrap w:val="0"/>
                  <w:vAlign w:val="center"/>
                </w:tcPr>
                <w:p w14:paraId="77F550E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9A60A4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1C6DD4B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53B0504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0F7BE557">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49CC0B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04FB96F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A941B2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53BBC55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管道及阀门</w:t>
                  </w:r>
                </w:p>
              </w:tc>
              <w:tc>
                <w:tcPr>
                  <w:tcW w:w="1851" w:type="dxa"/>
                  <w:noWrap w:val="0"/>
                  <w:vAlign w:val="center"/>
                </w:tcPr>
                <w:p w14:paraId="00814E1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6CBCE63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6968311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5257EA4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DDCC1E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6C49D1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0C223BA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7641092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EE642F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潜水式排污泵</w:t>
                  </w:r>
                </w:p>
              </w:tc>
              <w:tc>
                <w:tcPr>
                  <w:tcW w:w="1851" w:type="dxa"/>
                  <w:noWrap w:val="0"/>
                  <w:vAlign w:val="center"/>
                </w:tcPr>
                <w:p w14:paraId="46C0216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9BAF70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5EFAA03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61DD9ED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AF19B9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77ED26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2862458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1AEBB03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EC8EBA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污水管道</w:t>
                  </w:r>
                </w:p>
              </w:tc>
              <w:tc>
                <w:tcPr>
                  <w:tcW w:w="1851" w:type="dxa"/>
                  <w:noWrap w:val="0"/>
                  <w:vAlign w:val="center"/>
                </w:tcPr>
                <w:p w14:paraId="454014C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268A0D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6AE370A1">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6D4C00BA">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3DFA554E">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5B435C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687CA21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6</w:t>
                  </w:r>
                </w:p>
              </w:tc>
              <w:tc>
                <w:tcPr>
                  <w:tcW w:w="2884" w:type="dxa"/>
                  <w:gridSpan w:val="2"/>
                  <w:noWrap w:val="0"/>
                  <w:vAlign w:val="center"/>
                </w:tcPr>
                <w:p w14:paraId="74FB179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水泥称量系统</w:t>
                  </w:r>
                </w:p>
              </w:tc>
              <w:tc>
                <w:tcPr>
                  <w:tcW w:w="1851" w:type="dxa"/>
                  <w:noWrap w:val="0"/>
                  <w:vAlign w:val="center"/>
                </w:tcPr>
                <w:p w14:paraId="310F624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1737F6A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2934EC0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6DEF91B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692501D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2457DA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65C2DF2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7</w:t>
                  </w:r>
                </w:p>
              </w:tc>
              <w:tc>
                <w:tcPr>
                  <w:tcW w:w="2884" w:type="dxa"/>
                  <w:gridSpan w:val="2"/>
                  <w:noWrap w:val="0"/>
                  <w:vAlign w:val="center"/>
                </w:tcPr>
                <w:p w14:paraId="13FDE20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粉煤灰</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称量系统</w:t>
                  </w:r>
                </w:p>
              </w:tc>
              <w:tc>
                <w:tcPr>
                  <w:tcW w:w="1851" w:type="dxa"/>
                  <w:noWrap w:val="0"/>
                  <w:vAlign w:val="center"/>
                </w:tcPr>
                <w:p w14:paraId="166F8FA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3C173CE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296A7D2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A03F3E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0BA953A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0ECA8D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6133CBAD">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c>
                <w:tcPr>
                  <w:tcW w:w="2884" w:type="dxa"/>
                  <w:gridSpan w:val="2"/>
                  <w:noWrap w:val="0"/>
                  <w:vAlign w:val="center"/>
                </w:tcPr>
                <w:p w14:paraId="62F192D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外加剂称量供给系统</w:t>
                  </w:r>
                </w:p>
              </w:tc>
              <w:tc>
                <w:tcPr>
                  <w:tcW w:w="1851" w:type="dxa"/>
                  <w:noWrap w:val="0"/>
                  <w:vAlign w:val="center"/>
                </w:tcPr>
                <w:p w14:paraId="32B9B2C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69E2D07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44C5D2C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7ED981D">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2EBFE10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8DB6A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77CFFDE9">
                  <w:pPr>
                    <w:widowControl/>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9</w:t>
                  </w:r>
                </w:p>
              </w:tc>
              <w:tc>
                <w:tcPr>
                  <w:tcW w:w="2884" w:type="dxa"/>
                  <w:gridSpan w:val="2"/>
                  <w:noWrap w:val="0"/>
                  <w:vAlign w:val="center"/>
                </w:tcPr>
                <w:p w14:paraId="36C852D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卸料装置</w:t>
                  </w:r>
                </w:p>
              </w:tc>
              <w:tc>
                <w:tcPr>
                  <w:tcW w:w="1851" w:type="dxa"/>
                  <w:noWrap w:val="0"/>
                  <w:vAlign w:val="center"/>
                </w:tcPr>
                <w:p w14:paraId="05C8D81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550D50B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46CD428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651991F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5D89F9C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08A2FC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5D17996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10</w:t>
                  </w:r>
                </w:p>
              </w:tc>
              <w:tc>
                <w:tcPr>
                  <w:tcW w:w="1311" w:type="dxa"/>
                  <w:vMerge w:val="restart"/>
                  <w:noWrap w:val="0"/>
                  <w:vAlign w:val="center"/>
                </w:tcPr>
                <w:p w14:paraId="51A3589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气动系统</w:t>
                  </w:r>
                </w:p>
              </w:tc>
              <w:tc>
                <w:tcPr>
                  <w:tcW w:w="1573" w:type="dxa"/>
                  <w:noWrap w:val="0"/>
                  <w:vAlign w:val="center"/>
                </w:tcPr>
                <w:p w14:paraId="25D95CC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空压机</w:t>
                  </w:r>
                </w:p>
              </w:tc>
              <w:tc>
                <w:tcPr>
                  <w:tcW w:w="1851" w:type="dxa"/>
                  <w:noWrap w:val="0"/>
                  <w:vAlign w:val="center"/>
                </w:tcPr>
                <w:p w14:paraId="59D7247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611" w:type="dxa"/>
                  <w:noWrap w:val="0"/>
                  <w:vAlign w:val="center"/>
                </w:tcPr>
                <w:p w14:paraId="4B68C0C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1979BA8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restart"/>
                  <w:noWrap w:val="0"/>
                  <w:vAlign w:val="center"/>
                </w:tcPr>
                <w:p w14:paraId="70239CB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2471B9B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06C486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FBB9C81">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AEFBAB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01BF0AC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储气罐</w:t>
                  </w:r>
                </w:p>
              </w:tc>
              <w:tc>
                <w:tcPr>
                  <w:tcW w:w="1851" w:type="dxa"/>
                  <w:noWrap w:val="0"/>
                  <w:vAlign w:val="center"/>
                </w:tcPr>
                <w:p w14:paraId="1E2BCED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2CBA6DE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53C57CC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1DBF15D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166C542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CC59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72CB686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69BDD13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A0AD90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电磁阀及管路</w:t>
                  </w:r>
                </w:p>
              </w:tc>
              <w:tc>
                <w:tcPr>
                  <w:tcW w:w="1851" w:type="dxa"/>
                  <w:noWrap w:val="0"/>
                  <w:vAlign w:val="center"/>
                </w:tcPr>
                <w:p w14:paraId="48D505D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22702FE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0DE3872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vMerge w:val="continue"/>
                  <w:noWrap w:val="0"/>
                  <w:vAlign w:val="center"/>
                </w:tcPr>
                <w:p w14:paraId="217CBE3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07034DB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755D67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6EDE403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11</w:t>
                  </w:r>
                </w:p>
              </w:tc>
              <w:tc>
                <w:tcPr>
                  <w:tcW w:w="2884" w:type="dxa"/>
                  <w:gridSpan w:val="2"/>
                  <w:noWrap w:val="0"/>
                  <w:vAlign w:val="center"/>
                </w:tcPr>
                <w:p w14:paraId="5BE3747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电控系统操作软件</w:t>
                  </w:r>
                </w:p>
              </w:tc>
              <w:tc>
                <w:tcPr>
                  <w:tcW w:w="1851" w:type="dxa"/>
                  <w:noWrap w:val="0"/>
                  <w:vAlign w:val="center"/>
                </w:tcPr>
                <w:p w14:paraId="64E7BC6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283FCA6F">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7CEA717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1655E9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632F29F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6091A8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27AF42FB">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2884" w:type="dxa"/>
                  <w:gridSpan w:val="2"/>
                  <w:noWrap w:val="0"/>
                  <w:vAlign w:val="center"/>
                </w:tcPr>
                <w:p w14:paraId="7ED011E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控制室</w:t>
                  </w:r>
                </w:p>
              </w:tc>
              <w:tc>
                <w:tcPr>
                  <w:tcW w:w="1851" w:type="dxa"/>
                  <w:noWrap w:val="0"/>
                  <w:vAlign w:val="center"/>
                </w:tcPr>
                <w:p w14:paraId="6A416C1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0692C4A3">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座</w:t>
                  </w:r>
                </w:p>
              </w:tc>
              <w:tc>
                <w:tcPr>
                  <w:tcW w:w="623" w:type="dxa"/>
                  <w:noWrap w:val="0"/>
                  <w:vAlign w:val="center"/>
                </w:tcPr>
                <w:p w14:paraId="4A6BE927">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430A997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72ADCDD3">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4E3610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49B7066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13</w:t>
                  </w:r>
                </w:p>
              </w:tc>
              <w:tc>
                <w:tcPr>
                  <w:tcW w:w="1311" w:type="dxa"/>
                  <w:noWrap w:val="0"/>
                  <w:vAlign w:val="center"/>
                </w:tcPr>
                <w:p w14:paraId="2BD7155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螺旋输送机</w:t>
                  </w:r>
                </w:p>
              </w:tc>
              <w:tc>
                <w:tcPr>
                  <w:tcW w:w="1573" w:type="dxa"/>
                  <w:noWrap w:val="0"/>
                  <w:vAlign w:val="center"/>
                </w:tcPr>
                <w:p w14:paraId="55934EB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螺旋输送机</w:t>
                  </w:r>
                </w:p>
              </w:tc>
              <w:tc>
                <w:tcPr>
                  <w:tcW w:w="1851" w:type="dxa"/>
                  <w:noWrap w:val="0"/>
                  <w:vAlign w:val="center"/>
                </w:tcPr>
                <w:p w14:paraId="4405D6B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ϕ219</w:t>
                  </w:r>
                </w:p>
              </w:tc>
              <w:tc>
                <w:tcPr>
                  <w:tcW w:w="611" w:type="dxa"/>
                  <w:noWrap w:val="0"/>
                  <w:vAlign w:val="center"/>
                </w:tcPr>
                <w:p w14:paraId="6FC9E5E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套</w:t>
                  </w:r>
                </w:p>
              </w:tc>
              <w:tc>
                <w:tcPr>
                  <w:tcW w:w="623" w:type="dxa"/>
                  <w:noWrap w:val="0"/>
                  <w:vAlign w:val="center"/>
                </w:tcPr>
                <w:p w14:paraId="64D6EC34">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c>
                <w:tcPr>
                  <w:tcW w:w="735" w:type="dxa"/>
                  <w:noWrap w:val="0"/>
                  <w:vAlign w:val="center"/>
                </w:tcPr>
                <w:p w14:paraId="2764208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073F46A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w:t>
                  </w:r>
                </w:p>
              </w:tc>
            </w:tr>
            <w:tr w14:paraId="01C1A7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494AF425">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14</w:t>
                  </w:r>
                </w:p>
              </w:tc>
              <w:tc>
                <w:tcPr>
                  <w:tcW w:w="1311" w:type="dxa"/>
                  <w:vMerge w:val="restart"/>
                  <w:noWrap w:val="0"/>
                  <w:vAlign w:val="center"/>
                </w:tcPr>
                <w:p w14:paraId="512B679D">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粉料筒仓</w:t>
                  </w:r>
                </w:p>
              </w:tc>
              <w:tc>
                <w:tcPr>
                  <w:tcW w:w="1573" w:type="dxa"/>
                  <w:noWrap w:val="0"/>
                  <w:vAlign w:val="center"/>
                </w:tcPr>
                <w:p w14:paraId="39A0E00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水泥筒仓</w:t>
                  </w:r>
                </w:p>
              </w:tc>
              <w:tc>
                <w:tcPr>
                  <w:tcW w:w="1851" w:type="dxa"/>
                  <w:noWrap w:val="0"/>
                  <w:vAlign w:val="center"/>
                </w:tcPr>
                <w:p w14:paraId="752B1118">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100T</w:t>
                  </w:r>
                </w:p>
              </w:tc>
              <w:tc>
                <w:tcPr>
                  <w:tcW w:w="611" w:type="dxa"/>
                  <w:noWrap w:val="0"/>
                  <w:vAlign w:val="center"/>
                </w:tcPr>
                <w:p w14:paraId="38C0C2F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4DD52F7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w:t>
                  </w:r>
                </w:p>
              </w:tc>
              <w:tc>
                <w:tcPr>
                  <w:tcW w:w="735" w:type="dxa"/>
                  <w:vMerge w:val="restart"/>
                  <w:noWrap w:val="0"/>
                  <w:vAlign w:val="center"/>
                </w:tcPr>
                <w:p w14:paraId="1F6BCA8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4DF077FF">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w:t>
                  </w:r>
                </w:p>
              </w:tc>
            </w:tr>
            <w:tr w14:paraId="508305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54" w:hRule="atLeast"/>
                <w:jc w:val="center"/>
              </w:trPr>
              <w:tc>
                <w:tcPr>
                  <w:tcW w:w="602" w:type="dxa"/>
                  <w:vMerge w:val="continue"/>
                  <w:noWrap w:val="0"/>
                  <w:vAlign w:val="center"/>
                </w:tcPr>
                <w:p w14:paraId="5713A3BC">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2CAA571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4B4D7854">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掺和料筒仓</w:t>
                  </w:r>
                </w:p>
                <w:p w14:paraId="3EAE6E57">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（粉煤灰）</w:t>
                  </w:r>
                </w:p>
              </w:tc>
              <w:tc>
                <w:tcPr>
                  <w:tcW w:w="1851" w:type="dxa"/>
                  <w:noWrap w:val="0"/>
                  <w:vAlign w:val="center"/>
                </w:tcPr>
                <w:p w14:paraId="7A9963E9">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100T</w:t>
                  </w:r>
                </w:p>
              </w:tc>
              <w:tc>
                <w:tcPr>
                  <w:tcW w:w="611" w:type="dxa"/>
                  <w:noWrap w:val="0"/>
                  <w:vAlign w:val="center"/>
                </w:tcPr>
                <w:p w14:paraId="61B7E986">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个</w:t>
                  </w:r>
                </w:p>
              </w:tc>
              <w:tc>
                <w:tcPr>
                  <w:tcW w:w="623" w:type="dxa"/>
                  <w:noWrap w:val="0"/>
                  <w:vAlign w:val="center"/>
                </w:tcPr>
                <w:p w14:paraId="057A94DC">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vMerge w:val="continue"/>
                  <w:noWrap w:val="0"/>
                  <w:vAlign w:val="center"/>
                </w:tcPr>
                <w:p w14:paraId="540A4440">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735" w:type="dxa"/>
                  <w:noWrap w:val="0"/>
                  <w:vAlign w:val="center"/>
                </w:tcPr>
                <w:p w14:paraId="706E1F2E">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4</w:t>
                  </w:r>
                </w:p>
              </w:tc>
            </w:tr>
            <w:tr w14:paraId="5700D62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restart"/>
                  <w:noWrap w:val="0"/>
                  <w:vAlign w:val="center"/>
                </w:tcPr>
                <w:p w14:paraId="139C4B7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15</w:t>
                  </w:r>
                </w:p>
              </w:tc>
              <w:tc>
                <w:tcPr>
                  <w:tcW w:w="1311" w:type="dxa"/>
                  <w:vMerge w:val="restart"/>
                  <w:noWrap w:val="0"/>
                  <w:vAlign w:val="center"/>
                </w:tcPr>
                <w:p w14:paraId="42FD1FE2">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车辆</w:t>
                  </w:r>
                </w:p>
              </w:tc>
              <w:tc>
                <w:tcPr>
                  <w:tcW w:w="1573" w:type="dxa"/>
                  <w:noWrap w:val="0"/>
                  <w:vAlign w:val="center"/>
                </w:tcPr>
                <w:p w14:paraId="2F9944EE">
                  <w:pPr>
                    <w:autoSpaceDE w:val="0"/>
                    <w:autoSpaceDN w:val="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铲车</w:t>
                  </w:r>
                </w:p>
              </w:tc>
              <w:tc>
                <w:tcPr>
                  <w:tcW w:w="1851" w:type="dxa"/>
                  <w:noWrap w:val="0"/>
                  <w:vAlign w:val="center"/>
                </w:tcPr>
                <w:p w14:paraId="2FE7ED9F">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3F09B339">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辆</w:t>
                  </w:r>
                </w:p>
              </w:tc>
              <w:tc>
                <w:tcPr>
                  <w:tcW w:w="623" w:type="dxa"/>
                  <w:noWrap w:val="0"/>
                  <w:vAlign w:val="center"/>
                </w:tcPr>
                <w:p w14:paraId="5E26BE21">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735" w:type="dxa"/>
                  <w:noWrap w:val="0"/>
                  <w:vAlign w:val="center"/>
                </w:tcPr>
                <w:p w14:paraId="15D638F5">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B43816B">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r>
            <w:tr w14:paraId="21944F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vMerge w:val="continue"/>
                  <w:noWrap w:val="0"/>
                  <w:vAlign w:val="center"/>
                </w:tcPr>
                <w:p w14:paraId="65503F89">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311" w:type="dxa"/>
                  <w:vMerge w:val="continue"/>
                  <w:noWrap w:val="0"/>
                  <w:vAlign w:val="center"/>
                </w:tcPr>
                <w:p w14:paraId="57F1EF75">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2D847AEF">
                  <w:pPr>
                    <w:autoSpaceDE w:val="0"/>
                    <w:autoSpaceDN w:val="0"/>
                    <w:jc w:val="center"/>
                    <w:rPr>
                      <w:rFonts w:hint="default" w:ascii="Times New Roman" w:hAnsi="Times New Roman" w:eastAsia="宋体" w:cs="Times New Roman"/>
                      <w:color w:val="000000" w:themeColor="text1"/>
                      <w:kern w:val="2"/>
                      <w:sz w:val="21"/>
                      <w:szCs w:val="21"/>
                      <w:highlight w:val="none"/>
                      <w:lang w:val="en-GB"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t>混凝土运输车</w:t>
                  </w:r>
                </w:p>
              </w:tc>
              <w:tc>
                <w:tcPr>
                  <w:tcW w:w="1851" w:type="dxa"/>
                  <w:noWrap w:val="0"/>
                  <w:vAlign w:val="center"/>
                </w:tcPr>
                <w:p w14:paraId="590B2149">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55425CE">
                  <w:pPr>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辆</w:t>
                  </w:r>
                </w:p>
              </w:tc>
              <w:tc>
                <w:tcPr>
                  <w:tcW w:w="623" w:type="dxa"/>
                  <w:noWrap w:val="0"/>
                  <w:vAlign w:val="center"/>
                </w:tcPr>
                <w:p w14:paraId="492BE9FD">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15</w:t>
                  </w:r>
                </w:p>
              </w:tc>
              <w:tc>
                <w:tcPr>
                  <w:tcW w:w="735" w:type="dxa"/>
                  <w:noWrap w:val="0"/>
                  <w:vAlign w:val="center"/>
                </w:tcPr>
                <w:p w14:paraId="0050E2E9">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7487459B">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15</w:t>
                  </w:r>
                </w:p>
              </w:tc>
            </w:tr>
            <w:tr w14:paraId="4653AA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87" w:hRule="atLeast"/>
                <w:jc w:val="center"/>
              </w:trPr>
              <w:tc>
                <w:tcPr>
                  <w:tcW w:w="602" w:type="dxa"/>
                  <w:vMerge w:val="continue"/>
                  <w:noWrap w:val="0"/>
                  <w:vAlign w:val="center"/>
                </w:tcPr>
                <w:p w14:paraId="6D50DE6E">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311" w:type="dxa"/>
                  <w:vMerge w:val="continue"/>
                  <w:noWrap w:val="0"/>
                  <w:vAlign w:val="center"/>
                </w:tcPr>
                <w:p w14:paraId="02F91D2B">
                  <w:pPr>
                    <w:widowControl/>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1573" w:type="dxa"/>
                  <w:noWrap w:val="0"/>
                  <w:vAlign w:val="center"/>
                </w:tcPr>
                <w:p w14:paraId="3E4206E1">
                  <w:pPr>
                    <w:autoSpaceDE w:val="0"/>
                    <w:autoSpaceDN w:val="0"/>
                    <w:jc w:val="center"/>
                    <w:rPr>
                      <w:rFonts w:hint="default" w:ascii="Times New Roman" w:hAnsi="Times New Roman" w:eastAsia="宋体" w:cs="Times New Roman"/>
                      <w:color w:val="000000" w:themeColor="text1"/>
                      <w:sz w:val="21"/>
                      <w:szCs w:val="21"/>
                      <w:highlight w:val="none"/>
                      <w:lang w:val="en-GB"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GB" w:eastAsia="zh-CN"/>
                      <w14:textFill>
                        <w14:solidFill>
                          <w14:schemeClr w14:val="tx1"/>
                        </w14:solidFill>
                      </w14:textFill>
                    </w:rPr>
                    <w:t>洒水车</w:t>
                  </w:r>
                </w:p>
              </w:tc>
              <w:tc>
                <w:tcPr>
                  <w:tcW w:w="1851" w:type="dxa"/>
                  <w:noWrap w:val="0"/>
                  <w:vAlign w:val="center"/>
                </w:tcPr>
                <w:p w14:paraId="3E25187A">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7C261D9D">
                  <w:pPr>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辆</w:t>
                  </w:r>
                </w:p>
              </w:tc>
              <w:tc>
                <w:tcPr>
                  <w:tcW w:w="623" w:type="dxa"/>
                  <w:noWrap w:val="0"/>
                  <w:vAlign w:val="center"/>
                </w:tcPr>
                <w:p w14:paraId="484363B7">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w:t>
                  </w:r>
                </w:p>
              </w:tc>
              <w:tc>
                <w:tcPr>
                  <w:tcW w:w="735" w:type="dxa"/>
                  <w:noWrap w:val="0"/>
                  <w:vAlign w:val="center"/>
                </w:tcPr>
                <w:p w14:paraId="2D7A2BF9">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F4377D0">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w:t>
                  </w:r>
                </w:p>
              </w:tc>
            </w:tr>
            <w:tr w14:paraId="5891A5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01E4A2C8">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16</w:t>
                  </w:r>
                </w:p>
              </w:tc>
              <w:tc>
                <w:tcPr>
                  <w:tcW w:w="2884" w:type="dxa"/>
                  <w:gridSpan w:val="2"/>
                  <w:noWrap w:val="0"/>
                  <w:vAlign w:val="center"/>
                </w:tcPr>
                <w:p w14:paraId="497BAA5C">
                  <w:pPr>
                    <w:autoSpaceDE w:val="0"/>
                    <w:autoSpaceDN w:val="0"/>
                    <w:jc w:val="cente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t>砂石分离机</w:t>
                  </w:r>
                </w:p>
              </w:tc>
              <w:tc>
                <w:tcPr>
                  <w:tcW w:w="1851" w:type="dxa"/>
                  <w:noWrap w:val="0"/>
                  <w:vAlign w:val="center"/>
                </w:tcPr>
                <w:p w14:paraId="40157ADC">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4E4DE47E">
                  <w:pPr>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3D47E6CC">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C1317A7">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411FBB5D">
                  <w:pPr>
                    <w:autoSpaceDE w:val="0"/>
                    <w:autoSpaceDN w:val="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2CCCF0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53362DCA">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17</w:t>
                  </w:r>
                </w:p>
              </w:tc>
              <w:tc>
                <w:tcPr>
                  <w:tcW w:w="2884" w:type="dxa"/>
                  <w:gridSpan w:val="2"/>
                  <w:noWrap w:val="0"/>
                  <w:vAlign w:val="center"/>
                </w:tcPr>
                <w:p w14:paraId="1F987A3E">
                  <w:pPr>
                    <w:autoSpaceDE w:val="0"/>
                    <w:autoSpaceDN w:val="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压滤机</w:t>
                  </w:r>
                </w:p>
              </w:tc>
              <w:tc>
                <w:tcPr>
                  <w:tcW w:w="1851" w:type="dxa"/>
                  <w:noWrap w:val="0"/>
                  <w:vAlign w:val="center"/>
                </w:tcPr>
                <w:p w14:paraId="37026E13">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p>
              </w:tc>
              <w:tc>
                <w:tcPr>
                  <w:tcW w:w="611" w:type="dxa"/>
                  <w:noWrap w:val="0"/>
                  <w:vAlign w:val="center"/>
                </w:tcPr>
                <w:p w14:paraId="3405AA96">
                  <w:pPr>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0F865F14">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0EDF51DB">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C4E6C5E">
                  <w:pPr>
                    <w:autoSpaceDE w:val="0"/>
                    <w:autoSpaceDN w:val="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r w14:paraId="27AB4D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2" w:hRule="atLeast"/>
                <w:jc w:val="center"/>
              </w:trPr>
              <w:tc>
                <w:tcPr>
                  <w:tcW w:w="602" w:type="dxa"/>
                  <w:noWrap w:val="0"/>
                  <w:vAlign w:val="center"/>
                </w:tcPr>
                <w:p w14:paraId="1982D332">
                  <w:pPr>
                    <w:widowControl/>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18</w:t>
                  </w:r>
                </w:p>
              </w:tc>
              <w:tc>
                <w:tcPr>
                  <w:tcW w:w="2884" w:type="dxa"/>
                  <w:gridSpan w:val="2"/>
                  <w:noWrap w:val="0"/>
                  <w:vAlign w:val="center"/>
                </w:tcPr>
                <w:p w14:paraId="514A4C3B">
                  <w:pPr>
                    <w:autoSpaceDE w:val="0"/>
                    <w:autoSpaceDN w:val="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变压器</w:t>
                  </w:r>
                </w:p>
              </w:tc>
              <w:tc>
                <w:tcPr>
                  <w:tcW w:w="1851" w:type="dxa"/>
                  <w:noWrap w:val="0"/>
                  <w:vAlign w:val="center"/>
                </w:tcPr>
                <w:p w14:paraId="25BA6C5F">
                  <w:pPr>
                    <w:autoSpaceDE w:val="0"/>
                    <w:autoSpaceDN w:val="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611" w:type="dxa"/>
                  <w:noWrap w:val="0"/>
                  <w:vAlign w:val="center"/>
                </w:tcPr>
                <w:p w14:paraId="63FD2AD1">
                  <w:pPr>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台</w:t>
                  </w:r>
                </w:p>
              </w:tc>
              <w:tc>
                <w:tcPr>
                  <w:tcW w:w="623" w:type="dxa"/>
                  <w:noWrap w:val="0"/>
                  <w:vAlign w:val="center"/>
                </w:tcPr>
                <w:p w14:paraId="2F674F32">
                  <w:pPr>
                    <w:autoSpaceDE w:val="0"/>
                    <w:autoSpaceDN w:val="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7A195CD7">
                  <w:pPr>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c>
                <w:tcPr>
                  <w:tcW w:w="735" w:type="dxa"/>
                  <w:noWrap w:val="0"/>
                  <w:vAlign w:val="center"/>
                </w:tcPr>
                <w:p w14:paraId="3724DC3F">
                  <w:pPr>
                    <w:autoSpaceDE w:val="0"/>
                    <w:autoSpaceDN w:val="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w:t>
                  </w:r>
                </w:p>
              </w:tc>
            </w:tr>
          </w:tbl>
          <w:p w14:paraId="18AA9A94">
            <w:pPr>
              <w:keepNext w:val="0"/>
              <w:keepLines w:val="0"/>
              <w:pageBreakBefore w:val="0"/>
              <w:widowControl w:val="0"/>
              <w:tabs>
                <w:tab w:val="center" w:pos="4648"/>
              </w:tabs>
              <w:kinsoku/>
              <w:wordWrap/>
              <w:overflowPunct/>
              <w:topLinePunct w:val="0"/>
              <w:autoSpaceDE/>
              <w:autoSpaceDN/>
              <w:bidi w:val="0"/>
              <w:adjustRightInd w:val="0"/>
              <w:snapToGrid w:val="0"/>
              <w:spacing w:before="157" w:beforeLines="50"/>
              <w:ind w:right="0" w:firstLine="0" w:firstLineChars="0"/>
              <w:jc w:val="center"/>
              <w:textAlignment w:val="auto"/>
              <w:rPr>
                <w:rFonts w:hint="eastAsia" w:ascii="Times New Roman" w:hAnsi="Times New Roman" w:eastAsia="宋体" w:cs="Times New Roman"/>
                <w:b/>
                <w:bCs/>
                <w:color w:val="000000" w:themeColor="text1"/>
                <w:sz w:val="32"/>
                <w:szCs w:val="32"/>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2-1</w:t>
            </w:r>
            <w:r>
              <w:rPr>
                <w:rFonts w:hint="eastAsia"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2</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项目</w:t>
            </w: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钢筋构件生产</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主要设施设备</w:t>
            </w:r>
          </w:p>
          <w:tbl>
            <w:tblPr>
              <w:tblStyle w:val="20"/>
              <w:tblW w:w="805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4"/>
              <w:gridCol w:w="2776"/>
              <w:gridCol w:w="1866"/>
              <w:gridCol w:w="1425"/>
              <w:gridCol w:w="1269"/>
            </w:tblGrid>
            <w:tr w14:paraId="6DBCB2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7C8D4CF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序</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2776" w:type="dxa"/>
                  <w:tcBorders>
                    <w:tl2br w:val="nil"/>
                    <w:tr2bl w:val="nil"/>
                  </w:tcBorders>
                  <w:noWrap w:val="0"/>
                  <w:vAlign w:val="center"/>
                </w:tcPr>
                <w:p w14:paraId="75E4B79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设</w:t>
                  </w:r>
                  <w:r>
                    <w:rPr>
                      <w:rFonts w:hint="default" w:ascii="Times New Roman" w:hAnsi="Times New Roman" w:eastAsia="宋体" w:cs="Times New Roman"/>
                      <w:b/>
                      <w:bCs/>
                      <w:color w:val="000000" w:themeColor="text1"/>
                      <w:spacing w:val="2"/>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名</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称</w:t>
                  </w:r>
                </w:p>
              </w:tc>
              <w:tc>
                <w:tcPr>
                  <w:tcW w:w="1866" w:type="dxa"/>
                  <w:tcBorders>
                    <w:tl2br w:val="nil"/>
                    <w:tr2bl w:val="nil"/>
                  </w:tcBorders>
                  <w:noWrap w:val="0"/>
                  <w:vAlign w:val="center"/>
                </w:tcPr>
                <w:p w14:paraId="3B9E0C4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型</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1425" w:type="dxa"/>
                  <w:tcBorders>
                    <w:tl2br w:val="nil"/>
                    <w:tr2bl w:val="nil"/>
                  </w:tcBorders>
                  <w:noWrap w:val="0"/>
                  <w:vAlign w:val="center"/>
                </w:tcPr>
                <w:p w14:paraId="68F7A2D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数</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量</w:t>
                  </w:r>
                </w:p>
              </w:tc>
              <w:tc>
                <w:tcPr>
                  <w:tcW w:w="1269" w:type="dxa"/>
                  <w:tcBorders>
                    <w:tl2br w:val="nil"/>
                    <w:tr2bl w:val="nil"/>
                  </w:tcBorders>
                  <w:noWrap w:val="0"/>
                  <w:vAlign w:val="center"/>
                </w:tcPr>
                <w:p w14:paraId="59DE84D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注</w:t>
                  </w:r>
                </w:p>
              </w:tc>
            </w:tr>
            <w:tr w14:paraId="3909A9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62E987E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2776" w:type="dxa"/>
                  <w:tcBorders>
                    <w:tl2br w:val="nil"/>
                    <w:tr2bl w:val="nil"/>
                  </w:tcBorders>
                  <w:noWrap w:val="0"/>
                  <w:vAlign w:val="center"/>
                </w:tcPr>
                <w:p w14:paraId="495CAF9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全自动液压钢筋调直切断机</w:t>
                  </w:r>
                </w:p>
              </w:tc>
              <w:tc>
                <w:tcPr>
                  <w:tcW w:w="1866" w:type="dxa"/>
                  <w:tcBorders>
                    <w:tl2br w:val="nil"/>
                    <w:tr2bl w:val="nil"/>
                  </w:tcBorders>
                  <w:noWrap w:val="0"/>
                  <w:vAlign w:val="center"/>
                </w:tcPr>
                <w:p w14:paraId="1125F83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GQ0</w:t>
                  </w:r>
                </w:p>
              </w:tc>
              <w:tc>
                <w:tcPr>
                  <w:tcW w:w="1425" w:type="dxa"/>
                  <w:tcBorders>
                    <w:tl2br w:val="nil"/>
                    <w:tr2bl w:val="nil"/>
                  </w:tcBorders>
                  <w:noWrap w:val="0"/>
                  <w:vAlign w:val="center"/>
                </w:tcPr>
                <w:p w14:paraId="2CD1C73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628CCB6A">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4EB706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7D830C4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2776" w:type="dxa"/>
                  <w:tcBorders>
                    <w:tl2br w:val="nil"/>
                    <w:tr2bl w:val="nil"/>
                  </w:tcBorders>
                  <w:noWrap w:val="0"/>
                  <w:vAlign w:val="center"/>
                </w:tcPr>
                <w:p w14:paraId="0117C4C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自动焊网机</w:t>
                  </w:r>
                </w:p>
              </w:tc>
              <w:tc>
                <w:tcPr>
                  <w:tcW w:w="1866" w:type="dxa"/>
                  <w:tcBorders>
                    <w:tl2br w:val="nil"/>
                    <w:tr2bl w:val="nil"/>
                  </w:tcBorders>
                  <w:noWrap w:val="0"/>
                  <w:vAlign w:val="center"/>
                </w:tcPr>
                <w:p w14:paraId="1C18728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425" w:type="dxa"/>
                  <w:tcBorders>
                    <w:tl2br w:val="nil"/>
                    <w:tr2bl w:val="nil"/>
                  </w:tcBorders>
                  <w:noWrap w:val="0"/>
                  <w:vAlign w:val="center"/>
                </w:tcPr>
                <w:p w14:paraId="6FA5B71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7FC3E2B2">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20756E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0408F82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3</w:t>
                  </w:r>
                </w:p>
              </w:tc>
              <w:tc>
                <w:tcPr>
                  <w:tcW w:w="2776" w:type="dxa"/>
                  <w:tcBorders>
                    <w:tl2br w:val="nil"/>
                    <w:tr2bl w:val="nil"/>
                  </w:tcBorders>
                  <w:noWrap w:val="0"/>
                  <w:vAlign w:val="center"/>
                </w:tcPr>
                <w:p w14:paraId="4A6E598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数控钢筋弯曲中心</w:t>
                  </w:r>
                </w:p>
              </w:tc>
              <w:tc>
                <w:tcPr>
                  <w:tcW w:w="1866" w:type="dxa"/>
                  <w:tcBorders>
                    <w:tl2br w:val="nil"/>
                    <w:tr2bl w:val="nil"/>
                  </w:tcBorders>
                  <w:noWrap w:val="0"/>
                  <w:vAlign w:val="center"/>
                </w:tcPr>
                <w:p w14:paraId="5F9108B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KZ2L32</w:t>
                  </w:r>
                </w:p>
              </w:tc>
              <w:tc>
                <w:tcPr>
                  <w:tcW w:w="1425" w:type="dxa"/>
                  <w:tcBorders>
                    <w:tl2br w:val="nil"/>
                    <w:tr2bl w:val="nil"/>
                  </w:tcBorders>
                  <w:noWrap w:val="0"/>
                  <w:vAlign w:val="center"/>
                </w:tcPr>
                <w:p w14:paraId="7C36AAC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39FF1DFF">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4A42B9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4A96EF8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2776" w:type="dxa"/>
                  <w:tcBorders>
                    <w:tl2br w:val="nil"/>
                    <w:tr2bl w:val="nil"/>
                  </w:tcBorders>
                  <w:noWrap w:val="0"/>
                  <w:vAlign w:val="center"/>
                </w:tcPr>
                <w:p w14:paraId="7690E65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数控钢筋弯箍机</w:t>
                  </w:r>
                </w:p>
              </w:tc>
              <w:tc>
                <w:tcPr>
                  <w:tcW w:w="1866" w:type="dxa"/>
                  <w:tcBorders>
                    <w:tl2br w:val="nil"/>
                    <w:tr2bl w:val="nil"/>
                  </w:tcBorders>
                  <w:noWrap w:val="0"/>
                  <w:vAlign w:val="center"/>
                </w:tcPr>
                <w:p w14:paraId="231A907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G</w:t>
                  </w:r>
                  <w:r>
                    <w:rPr>
                      <w:rFonts w:hint="default" w:ascii="Times New Roman" w:hAnsi="Times New Roman" w:eastAsia="宋体" w:cs="Times New Roman"/>
                      <w:color w:val="000000" w:themeColor="text1"/>
                      <w:spacing w:val="-9"/>
                      <w:sz w:val="21"/>
                      <w:szCs w:val="21"/>
                      <w:highlight w:val="none"/>
                      <w14:textFill>
                        <w14:solidFill>
                          <w14:schemeClr w14:val="tx1"/>
                        </w14:solidFill>
                      </w14:textFill>
                    </w:rPr>
                    <w:t>W</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4</w:t>
                  </w:r>
                  <w:r>
                    <w:rPr>
                      <w:rFonts w:hint="default" w:ascii="Times New Roman" w:hAnsi="Times New Roman" w:eastAsia="宋体" w:cs="Times New Roman"/>
                      <w:color w:val="000000" w:themeColor="text1"/>
                      <w:sz w:val="21"/>
                      <w:szCs w:val="21"/>
                      <w:highlight w:val="none"/>
                      <w14:textFill>
                        <w14:solidFill>
                          <w14:schemeClr w14:val="tx1"/>
                        </w14:solidFill>
                      </w14:textFill>
                    </w:rPr>
                    <w:t>0</w:t>
                  </w:r>
                </w:p>
              </w:tc>
              <w:tc>
                <w:tcPr>
                  <w:tcW w:w="1425" w:type="dxa"/>
                  <w:tcBorders>
                    <w:tl2br w:val="nil"/>
                    <w:tr2bl w:val="nil"/>
                  </w:tcBorders>
                  <w:noWrap w:val="0"/>
                  <w:vAlign w:val="center"/>
                </w:tcPr>
                <w:p w14:paraId="60FFC588">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215384A1">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33ED30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342F65A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5</w:t>
                  </w:r>
                </w:p>
              </w:tc>
              <w:tc>
                <w:tcPr>
                  <w:tcW w:w="2776" w:type="dxa"/>
                  <w:tcBorders>
                    <w:tl2br w:val="nil"/>
                    <w:tr2bl w:val="nil"/>
                  </w:tcBorders>
                  <w:noWrap w:val="0"/>
                  <w:vAlign w:val="center"/>
                </w:tcPr>
                <w:p w14:paraId="3A12278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滚丝机</w:t>
                  </w:r>
                </w:p>
              </w:tc>
              <w:tc>
                <w:tcPr>
                  <w:tcW w:w="1866" w:type="dxa"/>
                  <w:tcBorders>
                    <w:tl2br w:val="nil"/>
                    <w:tr2bl w:val="nil"/>
                  </w:tcBorders>
                  <w:noWrap w:val="0"/>
                  <w:vAlign w:val="center"/>
                </w:tcPr>
                <w:p w14:paraId="5E6F36C8">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425" w:type="dxa"/>
                  <w:tcBorders>
                    <w:tl2br w:val="nil"/>
                    <w:tr2bl w:val="nil"/>
                  </w:tcBorders>
                  <w:noWrap w:val="0"/>
                  <w:vAlign w:val="center"/>
                </w:tcPr>
                <w:p w14:paraId="5E3BE62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1269" w:type="dxa"/>
                  <w:tcBorders>
                    <w:tl2br w:val="nil"/>
                    <w:tr2bl w:val="nil"/>
                  </w:tcBorders>
                  <w:noWrap w:val="0"/>
                  <w:vAlign w:val="center"/>
                </w:tcPr>
                <w:p w14:paraId="15D4E2A7">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183207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2C35B0B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6</w:t>
                  </w:r>
                </w:p>
              </w:tc>
              <w:tc>
                <w:tcPr>
                  <w:tcW w:w="2776" w:type="dxa"/>
                  <w:tcBorders>
                    <w:tl2br w:val="nil"/>
                    <w:tr2bl w:val="nil"/>
                  </w:tcBorders>
                  <w:noWrap w:val="0"/>
                  <w:vAlign w:val="center"/>
                </w:tcPr>
                <w:p w14:paraId="6FFBD9B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钢筋笼滚焊机</w:t>
                  </w:r>
                </w:p>
              </w:tc>
              <w:tc>
                <w:tcPr>
                  <w:tcW w:w="1866" w:type="dxa"/>
                  <w:tcBorders>
                    <w:tl2br w:val="nil"/>
                    <w:tr2bl w:val="nil"/>
                  </w:tcBorders>
                  <w:noWrap w:val="0"/>
                  <w:vAlign w:val="center"/>
                </w:tcPr>
                <w:p w14:paraId="531B60C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H</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F</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200</w:t>
                  </w:r>
                  <w:r>
                    <w:rPr>
                      <w:rFonts w:hint="default" w:ascii="Times New Roman" w:hAnsi="Times New Roman" w:eastAsia="宋体" w:cs="Times New Roman"/>
                      <w:color w:val="000000" w:themeColor="text1"/>
                      <w:sz w:val="21"/>
                      <w:szCs w:val="21"/>
                      <w:highlight w:val="none"/>
                      <w14:textFill>
                        <w14:solidFill>
                          <w14:schemeClr w14:val="tx1"/>
                        </w14:solidFill>
                      </w14:textFill>
                    </w:rPr>
                    <w:t>0</w:t>
                  </w:r>
                </w:p>
              </w:tc>
              <w:tc>
                <w:tcPr>
                  <w:tcW w:w="1425" w:type="dxa"/>
                  <w:tcBorders>
                    <w:tl2br w:val="nil"/>
                    <w:tr2bl w:val="nil"/>
                  </w:tcBorders>
                  <w:noWrap w:val="0"/>
                  <w:vAlign w:val="center"/>
                </w:tcPr>
                <w:p w14:paraId="064A73F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4A13505B">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6327C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5D8C003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p>
              </w:tc>
              <w:tc>
                <w:tcPr>
                  <w:tcW w:w="2776" w:type="dxa"/>
                  <w:tcBorders>
                    <w:tl2br w:val="nil"/>
                    <w:tr2bl w:val="nil"/>
                  </w:tcBorders>
                  <w:noWrap w:val="0"/>
                  <w:vAlign w:val="center"/>
                </w:tcPr>
                <w:p w14:paraId="174BF6A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盘筋放线</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架</w:t>
                  </w:r>
                </w:p>
              </w:tc>
              <w:tc>
                <w:tcPr>
                  <w:tcW w:w="1866" w:type="dxa"/>
                  <w:tcBorders>
                    <w:tl2br w:val="nil"/>
                    <w:tr2bl w:val="nil"/>
                  </w:tcBorders>
                  <w:noWrap w:val="0"/>
                  <w:vAlign w:val="center"/>
                </w:tcPr>
                <w:p w14:paraId="7CD8F5D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425" w:type="dxa"/>
                  <w:tcBorders>
                    <w:tl2br w:val="nil"/>
                    <w:tr2bl w:val="nil"/>
                  </w:tcBorders>
                  <w:noWrap w:val="0"/>
                  <w:vAlign w:val="center"/>
                </w:tcPr>
                <w:p w14:paraId="02B4A8D8">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0E219059">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5976EDD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4" w:type="dxa"/>
                  <w:tcBorders>
                    <w:tl2br w:val="nil"/>
                    <w:tr2bl w:val="nil"/>
                  </w:tcBorders>
                  <w:noWrap w:val="0"/>
                  <w:vAlign w:val="center"/>
                </w:tcPr>
                <w:p w14:paraId="0C9F173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w:t>
                  </w:r>
                </w:p>
              </w:tc>
              <w:tc>
                <w:tcPr>
                  <w:tcW w:w="2776" w:type="dxa"/>
                  <w:tcBorders>
                    <w:tl2br w:val="nil"/>
                    <w:tr2bl w:val="nil"/>
                  </w:tcBorders>
                  <w:noWrap w:val="0"/>
                  <w:vAlign w:val="center"/>
                </w:tcPr>
                <w:p w14:paraId="06A3A2D1">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门吊</w:t>
                  </w:r>
                </w:p>
              </w:tc>
              <w:tc>
                <w:tcPr>
                  <w:tcW w:w="1866" w:type="dxa"/>
                  <w:tcBorders>
                    <w:tl2br w:val="nil"/>
                    <w:tr2bl w:val="nil"/>
                  </w:tcBorders>
                  <w:noWrap w:val="0"/>
                  <w:vAlign w:val="center"/>
                </w:tcPr>
                <w:p w14:paraId="3ED05CB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10T</w:t>
                  </w:r>
                </w:p>
              </w:tc>
              <w:tc>
                <w:tcPr>
                  <w:tcW w:w="1425" w:type="dxa"/>
                  <w:tcBorders>
                    <w:tl2br w:val="nil"/>
                    <w:tr2bl w:val="nil"/>
                  </w:tcBorders>
                  <w:noWrap w:val="0"/>
                  <w:vAlign w:val="center"/>
                </w:tcPr>
                <w:p w14:paraId="25E0C088">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69" w:type="dxa"/>
                  <w:tcBorders>
                    <w:tl2br w:val="nil"/>
                    <w:tr2bl w:val="nil"/>
                  </w:tcBorders>
                  <w:noWrap w:val="0"/>
                  <w:vAlign w:val="center"/>
                </w:tcPr>
                <w:p w14:paraId="5D850DDC">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bl>
          <w:p w14:paraId="54A397CA">
            <w:pPr>
              <w:keepNext w:val="0"/>
              <w:keepLines w:val="0"/>
              <w:pageBreakBefore w:val="0"/>
              <w:widowControl w:val="0"/>
              <w:tabs>
                <w:tab w:val="center" w:pos="4648"/>
              </w:tabs>
              <w:kinsoku/>
              <w:wordWrap/>
              <w:overflowPunct/>
              <w:topLinePunct w:val="0"/>
              <w:autoSpaceDE/>
              <w:autoSpaceDN/>
              <w:bidi w:val="0"/>
              <w:adjustRightInd w:val="0"/>
              <w:snapToGrid w:val="0"/>
              <w:spacing w:before="157" w:beforeLines="50"/>
              <w:ind w:right="0" w:firstLine="0" w:firstLineChars="0"/>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2-1</w:t>
            </w:r>
            <w:r>
              <w:rPr>
                <w:rFonts w:hint="eastAsia"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项目</w:t>
            </w: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预制件生产</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主要设施设备</w:t>
            </w:r>
          </w:p>
          <w:tbl>
            <w:tblPr>
              <w:tblStyle w:val="20"/>
              <w:tblW w:w="805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5"/>
              <w:gridCol w:w="2795"/>
              <w:gridCol w:w="1850"/>
              <w:gridCol w:w="1428"/>
              <w:gridCol w:w="1270"/>
            </w:tblGrid>
            <w:tr w14:paraId="4A1E7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3565FCC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序</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2795" w:type="dxa"/>
                  <w:tcBorders>
                    <w:tl2br w:val="nil"/>
                    <w:tr2bl w:val="nil"/>
                  </w:tcBorders>
                  <w:noWrap w:val="0"/>
                  <w:vAlign w:val="center"/>
                </w:tcPr>
                <w:p w14:paraId="6E65270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设</w:t>
                  </w:r>
                  <w:r>
                    <w:rPr>
                      <w:rFonts w:hint="default" w:ascii="Times New Roman" w:hAnsi="Times New Roman" w:eastAsia="宋体" w:cs="Times New Roman"/>
                      <w:b/>
                      <w:bCs/>
                      <w:color w:val="000000" w:themeColor="text1"/>
                      <w:spacing w:val="2"/>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名</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称</w:t>
                  </w:r>
                </w:p>
              </w:tc>
              <w:tc>
                <w:tcPr>
                  <w:tcW w:w="1850" w:type="dxa"/>
                  <w:tcBorders>
                    <w:tl2br w:val="nil"/>
                    <w:tr2bl w:val="nil"/>
                  </w:tcBorders>
                  <w:noWrap w:val="0"/>
                  <w:vAlign w:val="center"/>
                </w:tcPr>
                <w:p w14:paraId="3DEB758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型</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号</w:t>
                  </w:r>
                </w:p>
              </w:tc>
              <w:tc>
                <w:tcPr>
                  <w:tcW w:w="1428" w:type="dxa"/>
                  <w:tcBorders>
                    <w:tl2br w:val="nil"/>
                    <w:tr2bl w:val="nil"/>
                  </w:tcBorders>
                  <w:noWrap w:val="0"/>
                  <w:vAlign w:val="center"/>
                </w:tcPr>
                <w:p w14:paraId="419FA4A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数</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量</w:t>
                  </w:r>
                </w:p>
              </w:tc>
              <w:tc>
                <w:tcPr>
                  <w:tcW w:w="1270" w:type="dxa"/>
                  <w:tcBorders>
                    <w:tl2br w:val="nil"/>
                    <w:tr2bl w:val="nil"/>
                  </w:tcBorders>
                  <w:noWrap w:val="0"/>
                  <w:vAlign w:val="center"/>
                </w:tcPr>
                <w:p w14:paraId="715C4833">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pacing w:val="-1"/>
                      <w:sz w:val="21"/>
                      <w:szCs w:val="21"/>
                      <w:highlight w:val="none"/>
                      <w14:textFill>
                        <w14:solidFill>
                          <w14:schemeClr w14:val="tx1"/>
                        </w14:solidFill>
                      </w14:textFill>
                    </w:rPr>
                    <w:t>备</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注</w:t>
                  </w:r>
                </w:p>
              </w:tc>
            </w:tr>
            <w:tr w14:paraId="7C86F7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2451E8A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2795" w:type="dxa"/>
                  <w:tcBorders>
                    <w:tl2br w:val="nil"/>
                    <w:tr2bl w:val="nil"/>
                  </w:tcBorders>
                  <w:noWrap w:val="0"/>
                  <w:vAlign w:val="center"/>
                </w:tcPr>
                <w:p w14:paraId="13B3574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门吊</w:t>
                  </w:r>
                </w:p>
              </w:tc>
              <w:tc>
                <w:tcPr>
                  <w:tcW w:w="1850" w:type="dxa"/>
                  <w:tcBorders>
                    <w:tl2br w:val="nil"/>
                    <w:tr2bl w:val="nil"/>
                  </w:tcBorders>
                  <w:noWrap w:val="0"/>
                  <w:vAlign w:val="center"/>
                </w:tcPr>
                <w:p w14:paraId="5CC8D950">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100t</w:t>
                  </w:r>
                </w:p>
              </w:tc>
              <w:tc>
                <w:tcPr>
                  <w:tcW w:w="1428" w:type="dxa"/>
                  <w:tcBorders>
                    <w:tl2br w:val="nil"/>
                    <w:tr2bl w:val="nil"/>
                  </w:tcBorders>
                  <w:noWrap w:val="0"/>
                  <w:vAlign w:val="center"/>
                </w:tcPr>
                <w:p w14:paraId="25F0D18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1270" w:type="dxa"/>
                  <w:tcBorders>
                    <w:tl2br w:val="nil"/>
                    <w:tr2bl w:val="nil"/>
                  </w:tcBorders>
                  <w:noWrap w:val="0"/>
                  <w:vAlign w:val="center"/>
                </w:tcPr>
                <w:p w14:paraId="7775C366">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t梁</w:t>
                  </w:r>
                </w:p>
              </w:tc>
            </w:tr>
            <w:tr w14:paraId="19F4BE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31B7FAC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2795" w:type="dxa"/>
                  <w:tcBorders>
                    <w:tl2br w:val="nil"/>
                    <w:tr2bl w:val="nil"/>
                  </w:tcBorders>
                  <w:noWrap w:val="0"/>
                  <w:vAlign w:val="center"/>
                </w:tcPr>
                <w:p w14:paraId="0E472C0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门吊</w:t>
                  </w:r>
                </w:p>
              </w:tc>
              <w:tc>
                <w:tcPr>
                  <w:tcW w:w="1850" w:type="dxa"/>
                  <w:tcBorders>
                    <w:tl2br w:val="nil"/>
                    <w:tr2bl w:val="nil"/>
                  </w:tcBorders>
                  <w:noWrap w:val="0"/>
                  <w:vAlign w:val="center"/>
                </w:tcPr>
                <w:p w14:paraId="34D64D0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10t</w:t>
                  </w:r>
                </w:p>
              </w:tc>
              <w:tc>
                <w:tcPr>
                  <w:tcW w:w="1428" w:type="dxa"/>
                  <w:tcBorders>
                    <w:tl2br w:val="nil"/>
                    <w:tr2bl w:val="nil"/>
                  </w:tcBorders>
                  <w:noWrap w:val="0"/>
                  <w:vAlign w:val="center"/>
                </w:tcPr>
                <w:p w14:paraId="66629EC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127AE9A1">
                  <w:pPr>
                    <w:keepNext w:val="0"/>
                    <w:keepLines w:val="0"/>
                    <w:pageBreakBefore w:val="0"/>
                    <w:widowControl w:val="0"/>
                    <w:wordWrap/>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3623D4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46C14B8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3</w:t>
                  </w:r>
                </w:p>
              </w:tc>
              <w:tc>
                <w:tcPr>
                  <w:tcW w:w="2795" w:type="dxa"/>
                  <w:tcBorders>
                    <w:tl2br w:val="nil"/>
                    <w:tr2bl w:val="nil"/>
                  </w:tcBorders>
                  <w:noWrap w:val="0"/>
                  <w:vAlign w:val="center"/>
                </w:tcPr>
                <w:p w14:paraId="4C55BC9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智能张拉设备</w:t>
                  </w:r>
                </w:p>
              </w:tc>
              <w:tc>
                <w:tcPr>
                  <w:tcW w:w="1850" w:type="dxa"/>
                  <w:tcBorders>
                    <w:tl2br w:val="nil"/>
                    <w:tr2bl w:val="nil"/>
                  </w:tcBorders>
                  <w:noWrap w:val="0"/>
                  <w:vAlign w:val="center"/>
                </w:tcPr>
                <w:p w14:paraId="3970165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ZNB智能张拉系统</w:t>
                  </w:r>
                </w:p>
              </w:tc>
              <w:tc>
                <w:tcPr>
                  <w:tcW w:w="1428" w:type="dxa"/>
                  <w:tcBorders>
                    <w:tl2br w:val="nil"/>
                    <w:tr2bl w:val="nil"/>
                  </w:tcBorders>
                  <w:noWrap w:val="0"/>
                  <w:vAlign w:val="center"/>
                </w:tcPr>
                <w:p w14:paraId="20612981">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4180EAC2">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337B57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0FB14D0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2795" w:type="dxa"/>
                  <w:tcBorders>
                    <w:tl2br w:val="nil"/>
                    <w:tr2bl w:val="nil"/>
                  </w:tcBorders>
                  <w:noWrap w:val="0"/>
                  <w:vAlign w:val="center"/>
                </w:tcPr>
                <w:p w14:paraId="239512BD">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智能压浆设备</w:t>
                  </w:r>
                </w:p>
              </w:tc>
              <w:tc>
                <w:tcPr>
                  <w:tcW w:w="1850" w:type="dxa"/>
                  <w:tcBorders>
                    <w:tl2br w:val="nil"/>
                    <w:tr2bl w:val="nil"/>
                  </w:tcBorders>
                  <w:noWrap w:val="0"/>
                  <w:vAlign w:val="center"/>
                </w:tcPr>
                <w:p w14:paraId="4989402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PCTS智能制浆系统</w:t>
                  </w:r>
                </w:p>
              </w:tc>
              <w:tc>
                <w:tcPr>
                  <w:tcW w:w="1428" w:type="dxa"/>
                  <w:tcBorders>
                    <w:tl2br w:val="nil"/>
                    <w:tr2bl w:val="nil"/>
                  </w:tcBorders>
                  <w:noWrap w:val="0"/>
                  <w:vAlign w:val="center"/>
                </w:tcPr>
                <w:p w14:paraId="43BD50A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64D58A29">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20E0C8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67BE656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5</w:t>
                  </w:r>
                </w:p>
              </w:tc>
              <w:tc>
                <w:tcPr>
                  <w:tcW w:w="2795" w:type="dxa"/>
                  <w:tcBorders>
                    <w:tl2br w:val="nil"/>
                    <w:tr2bl w:val="nil"/>
                  </w:tcBorders>
                  <w:noWrap w:val="0"/>
                  <w:vAlign w:val="center"/>
                </w:tcPr>
                <w:p w14:paraId="76E6F7D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自动喷淋养护系统</w:t>
                  </w:r>
                </w:p>
              </w:tc>
              <w:tc>
                <w:tcPr>
                  <w:tcW w:w="1850" w:type="dxa"/>
                  <w:tcBorders>
                    <w:tl2br w:val="nil"/>
                    <w:tr2bl w:val="nil"/>
                  </w:tcBorders>
                  <w:noWrap w:val="0"/>
                  <w:vAlign w:val="center"/>
                </w:tcPr>
                <w:p w14:paraId="7079D9DF">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428" w:type="dxa"/>
                  <w:tcBorders>
                    <w:tl2br w:val="nil"/>
                    <w:tr2bl w:val="nil"/>
                  </w:tcBorders>
                  <w:noWrap w:val="0"/>
                  <w:vAlign w:val="center"/>
                </w:tcPr>
                <w:p w14:paraId="426797B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7CE69BDF">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22C6E0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3D2E044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6</w:t>
                  </w:r>
                </w:p>
              </w:tc>
              <w:tc>
                <w:tcPr>
                  <w:tcW w:w="2795" w:type="dxa"/>
                  <w:tcBorders>
                    <w:tl2br w:val="nil"/>
                    <w:tr2bl w:val="nil"/>
                  </w:tcBorders>
                  <w:noWrap w:val="0"/>
                  <w:vAlign w:val="center"/>
                </w:tcPr>
                <w:p w14:paraId="7FC8705D">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1850" w:type="dxa"/>
                  <w:tcBorders>
                    <w:tl2br w:val="nil"/>
                    <w:tr2bl w:val="nil"/>
                  </w:tcBorders>
                  <w:noWrap w:val="0"/>
                  <w:vAlign w:val="center"/>
                </w:tcPr>
                <w:p w14:paraId="2594B7BD">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xn-1898</w:t>
                  </w:r>
                </w:p>
              </w:tc>
              <w:tc>
                <w:tcPr>
                  <w:tcW w:w="1428" w:type="dxa"/>
                  <w:tcBorders>
                    <w:tl2br w:val="nil"/>
                    <w:tr2bl w:val="nil"/>
                  </w:tcBorders>
                  <w:noWrap w:val="0"/>
                  <w:vAlign w:val="center"/>
                </w:tcPr>
                <w:p w14:paraId="72147B61">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p>
              </w:tc>
              <w:tc>
                <w:tcPr>
                  <w:tcW w:w="1270" w:type="dxa"/>
                  <w:tcBorders>
                    <w:tl2br w:val="nil"/>
                    <w:tr2bl w:val="nil"/>
                  </w:tcBorders>
                  <w:noWrap w:val="0"/>
                  <w:vAlign w:val="center"/>
                </w:tcPr>
                <w:p w14:paraId="16178D2C">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5786A8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21717BEF">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p>
              </w:tc>
              <w:tc>
                <w:tcPr>
                  <w:tcW w:w="2795" w:type="dxa"/>
                  <w:tcBorders>
                    <w:tl2br w:val="nil"/>
                    <w:tr2bl w:val="nil"/>
                  </w:tcBorders>
                  <w:noWrap w:val="0"/>
                  <w:vAlign w:val="center"/>
                </w:tcPr>
                <w:p w14:paraId="0686DCFF">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发电机</w:t>
                  </w:r>
                </w:p>
              </w:tc>
              <w:tc>
                <w:tcPr>
                  <w:tcW w:w="1850" w:type="dxa"/>
                  <w:tcBorders>
                    <w:tl2br w:val="nil"/>
                    <w:tr2bl w:val="nil"/>
                  </w:tcBorders>
                  <w:noWrap w:val="0"/>
                  <w:vAlign w:val="center"/>
                </w:tcPr>
                <w:p w14:paraId="0A936D74">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400KW</w:t>
                  </w:r>
                </w:p>
              </w:tc>
              <w:tc>
                <w:tcPr>
                  <w:tcW w:w="1428" w:type="dxa"/>
                  <w:tcBorders>
                    <w:tl2br w:val="nil"/>
                    <w:tr2bl w:val="nil"/>
                  </w:tcBorders>
                  <w:noWrap w:val="0"/>
                  <w:vAlign w:val="center"/>
                </w:tcPr>
                <w:p w14:paraId="7C923BFB">
                  <w:pPr>
                    <w:spacing w:line="360" w:lineRule="exact"/>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270" w:type="dxa"/>
                  <w:tcBorders>
                    <w:tl2br w:val="nil"/>
                    <w:tr2bl w:val="nil"/>
                  </w:tcBorders>
                  <w:noWrap w:val="0"/>
                  <w:vAlign w:val="center"/>
                </w:tcPr>
                <w:p w14:paraId="0986D66A">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14A5D9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2D5E5152">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w:t>
                  </w:r>
                </w:p>
              </w:tc>
              <w:tc>
                <w:tcPr>
                  <w:tcW w:w="2795" w:type="dxa"/>
                  <w:tcBorders>
                    <w:tl2br w:val="nil"/>
                    <w:tr2bl w:val="nil"/>
                  </w:tcBorders>
                  <w:noWrap w:val="0"/>
                  <w:vAlign w:val="center"/>
                </w:tcPr>
                <w:p w14:paraId="6355CDB2">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锚具</w:t>
                  </w:r>
                </w:p>
              </w:tc>
              <w:tc>
                <w:tcPr>
                  <w:tcW w:w="1850" w:type="dxa"/>
                  <w:tcBorders>
                    <w:tl2br w:val="nil"/>
                    <w:tr2bl w:val="nil"/>
                  </w:tcBorders>
                  <w:noWrap w:val="0"/>
                  <w:vAlign w:val="center"/>
                </w:tcPr>
                <w:p w14:paraId="0B79047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M15-8</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、M15-</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9</w:t>
                  </w:r>
                </w:p>
              </w:tc>
              <w:tc>
                <w:tcPr>
                  <w:tcW w:w="1428" w:type="dxa"/>
                  <w:tcBorders>
                    <w:tl2br w:val="nil"/>
                    <w:tr2bl w:val="nil"/>
                  </w:tcBorders>
                  <w:noWrap w:val="0"/>
                  <w:vAlign w:val="center"/>
                </w:tcPr>
                <w:p w14:paraId="5E4CA38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2246</w:t>
                  </w:r>
                </w:p>
              </w:tc>
              <w:tc>
                <w:tcPr>
                  <w:tcW w:w="1270" w:type="dxa"/>
                  <w:tcBorders>
                    <w:tl2br w:val="nil"/>
                    <w:tr2bl w:val="nil"/>
                  </w:tcBorders>
                  <w:noWrap w:val="0"/>
                  <w:vAlign w:val="center"/>
                </w:tcPr>
                <w:p w14:paraId="6482FF9F">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062366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5" w:type="dxa"/>
                  <w:tcBorders>
                    <w:tl2br w:val="nil"/>
                    <w:tr2bl w:val="nil"/>
                  </w:tcBorders>
                  <w:noWrap w:val="0"/>
                  <w:vAlign w:val="center"/>
                </w:tcPr>
                <w:p w14:paraId="12B38BC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right="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2795" w:type="dxa"/>
                  <w:tcBorders>
                    <w:tl2br w:val="nil"/>
                    <w:tr2bl w:val="nil"/>
                  </w:tcBorders>
                  <w:noWrap w:val="0"/>
                  <w:vAlign w:val="center"/>
                </w:tcPr>
                <w:p w14:paraId="76BABD0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不锈钢模具</w:t>
                  </w:r>
                </w:p>
              </w:tc>
              <w:tc>
                <w:tcPr>
                  <w:tcW w:w="1850" w:type="dxa"/>
                  <w:tcBorders>
                    <w:tl2br w:val="nil"/>
                    <w:tr2bl w:val="nil"/>
                  </w:tcBorders>
                  <w:noWrap w:val="0"/>
                  <w:vAlign w:val="center"/>
                </w:tcPr>
                <w:p w14:paraId="62EA4848">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c>
                <w:tcPr>
                  <w:tcW w:w="1428" w:type="dxa"/>
                  <w:tcBorders>
                    <w:tl2br w:val="nil"/>
                    <w:tr2bl w:val="nil"/>
                  </w:tcBorders>
                  <w:noWrap w:val="0"/>
                  <w:vAlign w:val="center"/>
                </w:tcPr>
                <w:p w14:paraId="36C7A84B">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600</w:t>
                  </w:r>
                </w:p>
              </w:tc>
              <w:tc>
                <w:tcPr>
                  <w:tcW w:w="1270" w:type="dxa"/>
                  <w:tcBorders>
                    <w:tl2br w:val="nil"/>
                    <w:tr2bl w:val="nil"/>
                  </w:tcBorders>
                  <w:noWrap w:val="0"/>
                  <w:vAlign w:val="center"/>
                </w:tcPr>
                <w:p w14:paraId="6A15F113">
                  <w:pPr>
                    <w:keepNext w:val="0"/>
                    <w:keepLines w:val="0"/>
                    <w:pageBreakBefore w:val="0"/>
                    <w:widowControl w:val="0"/>
                    <w:wordWrap/>
                    <w:topLinePunct w:val="0"/>
                    <w:autoSpaceDE w:val="0"/>
                    <w:autoSpaceDN w:val="0"/>
                    <w:bidi w:val="0"/>
                    <w:adjustRightInd w:val="0"/>
                    <w:snapToGrid w:val="0"/>
                    <w:spacing w:beforeLines="0" w:afterLines="0" w:line="240" w:lineRule="auto"/>
                    <w:ind w:left="0" w:right="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bl>
          <w:p w14:paraId="2C739644">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根据《产业结构调整知道目录（2019年本）》、《部分工业行业淘汰落后工艺装备和产品指导目录（2010年本）》可知，项目所用设备均不属于国家禁止或命令淘汰的设备。</w:t>
            </w:r>
          </w:p>
          <w:p w14:paraId="60C4297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eastAsia="zh-CN"/>
                <w14:textFill>
                  <w14:solidFill>
                    <w14:schemeClr w14:val="tx1"/>
                  </w14:solidFill>
                </w14:textFill>
              </w:rPr>
              <w:t>六</w:t>
            </w:r>
            <w:r>
              <w:rPr>
                <w:rFonts w:ascii="Times New Roman" w:hAnsi="Times New Roman" w:eastAsia="宋体"/>
                <w:b/>
                <w:bCs/>
                <w:color w:val="000000" w:themeColor="text1"/>
                <w:sz w:val="24"/>
                <w:highlight w:val="none"/>
                <w14:textFill>
                  <w14:solidFill>
                    <w14:schemeClr w14:val="tx1"/>
                  </w14:solidFill>
                </w14:textFill>
              </w:rPr>
              <w:t>、主要原辅材料及能源消耗</w:t>
            </w:r>
          </w:p>
          <w:p w14:paraId="079406A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1、主要原辅材料及能耗情况</w:t>
            </w:r>
          </w:p>
          <w:p w14:paraId="2D3237D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val="0"/>
                <w:bCs w:val="0"/>
                <w:color w:val="000000" w:themeColor="text1"/>
                <w:sz w:val="24"/>
                <w:highlight w:val="none"/>
                <w:lang w:eastAsia="zh-CN"/>
                <w14:textFill>
                  <w14:solidFill>
                    <w14:schemeClr w14:val="tx1"/>
                  </w14:solidFill>
                </w14:textFill>
              </w:rPr>
            </w:pPr>
            <w:r>
              <w:rPr>
                <w:rFonts w:hint="eastAsia" w:ascii="Times New Roman" w:hAnsi="Times New Roman" w:eastAsia="宋体"/>
                <w:b w:val="0"/>
                <w:bCs w:val="0"/>
                <w:color w:val="000000" w:themeColor="text1"/>
                <w:sz w:val="24"/>
                <w:highlight w:val="none"/>
                <w:lang w:eastAsia="zh-CN"/>
                <w14:textFill>
                  <w14:solidFill>
                    <w14:schemeClr w14:val="tx1"/>
                  </w14:solidFill>
                </w14:textFill>
              </w:rPr>
              <w:t>根据建设单位提供资料，本项目混凝土生产各标号生产配比如下：</w:t>
            </w:r>
          </w:p>
          <w:p w14:paraId="32F3721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2-14    商品混凝土</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产品方案一览表</w:t>
            </w:r>
          </w:p>
          <w:tbl>
            <w:tblPr>
              <w:tblStyle w:val="21"/>
              <w:tblW w:w="5000"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005"/>
              <w:gridCol w:w="1005"/>
              <w:gridCol w:w="1005"/>
              <w:gridCol w:w="1005"/>
              <w:gridCol w:w="1005"/>
              <w:gridCol w:w="1005"/>
              <w:gridCol w:w="1168"/>
              <w:gridCol w:w="843"/>
            </w:tblGrid>
            <w:tr w14:paraId="0D4AD0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000" w:type="pct"/>
                  <w:gridSpan w:val="8"/>
                  <w:vAlign w:val="center"/>
                </w:tcPr>
                <w:p w14:paraId="66E73F1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各产品种类配比（kg/m</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r>
            <w:tr w14:paraId="556AE7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432D72F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c>
                <w:tcPr>
                  <w:tcW w:w="624" w:type="pct"/>
                  <w:vAlign w:val="center"/>
                </w:tcPr>
                <w:p w14:paraId="4D058C9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水泥（P.042.5）</w:t>
                  </w:r>
                </w:p>
              </w:tc>
              <w:tc>
                <w:tcPr>
                  <w:tcW w:w="624" w:type="pct"/>
                  <w:vAlign w:val="center"/>
                </w:tcPr>
                <w:p w14:paraId="4E4CCD8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粉煤灰</w:t>
                  </w:r>
                </w:p>
                <w:p w14:paraId="64F1CD13">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F类1级</w:t>
                  </w:r>
                  <w: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t>)</w:t>
                  </w:r>
                </w:p>
              </w:tc>
              <w:tc>
                <w:tcPr>
                  <w:tcW w:w="624" w:type="pct"/>
                  <w:vAlign w:val="center"/>
                </w:tcPr>
                <w:p w14:paraId="5B6A085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细骨料</w:t>
                  </w:r>
                </w:p>
                <w:p w14:paraId="7862935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（细砂）</w:t>
                  </w:r>
                </w:p>
              </w:tc>
              <w:tc>
                <w:tcPr>
                  <w:tcW w:w="624" w:type="pct"/>
                  <w:vAlign w:val="center"/>
                </w:tcPr>
                <w:p w14:paraId="5ABB242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粗骨料(5-10mm)</w:t>
                  </w:r>
                </w:p>
              </w:tc>
              <w:tc>
                <w:tcPr>
                  <w:tcW w:w="624" w:type="pct"/>
                  <w:vAlign w:val="center"/>
                </w:tcPr>
                <w:p w14:paraId="7B5CD1E1">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粗骨料(10-16mm)</w:t>
                  </w:r>
                </w:p>
              </w:tc>
              <w:tc>
                <w:tcPr>
                  <w:tcW w:w="726" w:type="pct"/>
                  <w:vAlign w:val="center"/>
                </w:tcPr>
                <w:p w14:paraId="0E2D268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粗骨料(16-31.5mm)</w:t>
                  </w:r>
                </w:p>
              </w:tc>
              <w:tc>
                <w:tcPr>
                  <w:tcW w:w="524" w:type="pct"/>
                  <w:vAlign w:val="center"/>
                </w:tcPr>
                <w:p w14:paraId="633737F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外加剂</w:t>
                  </w:r>
                </w:p>
              </w:tc>
            </w:tr>
            <w:tr w14:paraId="540B8F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42CB0F5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C15</w:t>
                  </w:r>
                </w:p>
              </w:tc>
              <w:tc>
                <w:tcPr>
                  <w:tcW w:w="624" w:type="pct"/>
                  <w:vAlign w:val="center"/>
                </w:tcPr>
                <w:p w14:paraId="73F1CA17">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232</w:t>
                  </w:r>
                </w:p>
              </w:tc>
              <w:tc>
                <w:tcPr>
                  <w:tcW w:w="624" w:type="pct"/>
                  <w:vAlign w:val="center"/>
                </w:tcPr>
                <w:p w14:paraId="21A56C8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1</w:t>
                  </w:r>
                </w:p>
              </w:tc>
              <w:tc>
                <w:tcPr>
                  <w:tcW w:w="624" w:type="pct"/>
                  <w:vAlign w:val="center"/>
                </w:tcPr>
                <w:p w14:paraId="708A3F7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20</w:t>
                  </w:r>
                </w:p>
              </w:tc>
              <w:tc>
                <w:tcPr>
                  <w:tcW w:w="624" w:type="pct"/>
                  <w:vAlign w:val="center"/>
                </w:tcPr>
                <w:p w14:paraId="7EDA50F3">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13</w:t>
                  </w:r>
                </w:p>
              </w:tc>
              <w:tc>
                <w:tcPr>
                  <w:tcW w:w="624" w:type="pct"/>
                  <w:vAlign w:val="center"/>
                </w:tcPr>
                <w:p w14:paraId="1AC01F65">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66</w:t>
                  </w:r>
                </w:p>
              </w:tc>
              <w:tc>
                <w:tcPr>
                  <w:tcW w:w="726" w:type="pct"/>
                  <w:vAlign w:val="center"/>
                </w:tcPr>
                <w:p w14:paraId="19BDB37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54</w:t>
                  </w:r>
                </w:p>
              </w:tc>
              <w:tc>
                <w:tcPr>
                  <w:tcW w:w="524" w:type="pct"/>
                  <w:vAlign w:val="center"/>
                </w:tcPr>
                <w:p w14:paraId="4DCDC6CF">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w:t>
                  </w:r>
                  <w:r>
                    <w:rPr>
                      <w:rFonts w:ascii="Times New Roman" w:hAnsi="Times New Roman" w:eastAsia="宋体" w:cs="Times New Roman"/>
                      <w:color w:val="000000" w:themeColor="text1"/>
                      <w:szCs w:val="21"/>
                      <w:highlight w:val="none"/>
                      <w14:textFill>
                        <w14:solidFill>
                          <w14:schemeClr w14:val="tx1"/>
                        </w14:solidFill>
                      </w14:textFill>
                    </w:rPr>
                    <w:t>.73</w:t>
                  </w:r>
                </w:p>
              </w:tc>
            </w:tr>
            <w:tr w14:paraId="1B0B50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3FC3AE7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C20</w:t>
                  </w:r>
                </w:p>
              </w:tc>
              <w:tc>
                <w:tcPr>
                  <w:tcW w:w="624" w:type="pct"/>
                  <w:vAlign w:val="center"/>
                </w:tcPr>
                <w:p w14:paraId="75C954B5">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w:t>
                  </w:r>
                  <w:r>
                    <w:rPr>
                      <w:rFonts w:ascii="Times New Roman" w:hAnsi="Times New Roman" w:eastAsia="宋体" w:cs="Times New Roman"/>
                      <w:color w:val="000000" w:themeColor="text1"/>
                      <w:szCs w:val="21"/>
                      <w:highlight w:val="none"/>
                      <w14:textFill>
                        <w14:solidFill>
                          <w14:schemeClr w14:val="tx1"/>
                        </w14:solidFill>
                      </w14:textFill>
                    </w:rPr>
                    <w:t>58</w:t>
                  </w:r>
                </w:p>
              </w:tc>
              <w:tc>
                <w:tcPr>
                  <w:tcW w:w="624" w:type="pct"/>
                  <w:vAlign w:val="center"/>
                </w:tcPr>
                <w:p w14:paraId="4B822F53">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6</w:t>
                  </w:r>
                </w:p>
              </w:tc>
              <w:tc>
                <w:tcPr>
                  <w:tcW w:w="624" w:type="pct"/>
                  <w:vAlign w:val="center"/>
                </w:tcPr>
                <w:p w14:paraId="74C9BBE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11</w:t>
                  </w:r>
                </w:p>
              </w:tc>
              <w:tc>
                <w:tcPr>
                  <w:tcW w:w="624" w:type="pct"/>
                  <w:vAlign w:val="center"/>
                </w:tcPr>
                <w:p w14:paraId="1D52425E">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12</w:t>
                  </w:r>
                </w:p>
              </w:tc>
              <w:tc>
                <w:tcPr>
                  <w:tcW w:w="624" w:type="pct"/>
                  <w:vAlign w:val="center"/>
                </w:tcPr>
                <w:p w14:paraId="2BA20C0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61</w:t>
                  </w:r>
                </w:p>
              </w:tc>
              <w:tc>
                <w:tcPr>
                  <w:tcW w:w="726" w:type="pct"/>
                  <w:vAlign w:val="center"/>
                </w:tcPr>
                <w:p w14:paraId="4B22BDD7">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48</w:t>
                  </w:r>
                </w:p>
              </w:tc>
              <w:tc>
                <w:tcPr>
                  <w:tcW w:w="524" w:type="pct"/>
                  <w:vAlign w:val="center"/>
                </w:tcPr>
                <w:p w14:paraId="6AE32E3A">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.04</w:t>
                  </w:r>
                </w:p>
              </w:tc>
            </w:tr>
            <w:tr w14:paraId="675DEA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18AAC08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C25</w:t>
                  </w:r>
                </w:p>
              </w:tc>
              <w:tc>
                <w:tcPr>
                  <w:tcW w:w="624" w:type="pct"/>
                  <w:vAlign w:val="center"/>
                </w:tcPr>
                <w:p w14:paraId="30D8672F">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2</w:t>
                  </w:r>
                  <w:r>
                    <w:rPr>
                      <w:rFonts w:ascii="Times New Roman" w:hAnsi="Times New Roman" w:eastAsia="宋体" w:cs="Times New Roman"/>
                      <w:color w:val="000000" w:themeColor="text1"/>
                      <w:szCs w:val="21"/>
                      <w:highlight w:val="none"/>
                      <w14:textFill>
                        <w14:solidFill>
                          <w14:schemeClr w14:val="tx1"/>
                        </w14:solidFill>
                      </w14:textFill>
                    </w:rPr>
                    <w:t>79</w:t>
                  </w:r>
                </w:p>
              </w:tc>
              <w:tc>
                <w:tcPr>
                  <w:tcW w:w="624" w:type="pct"/>
                  <w:vAlign w:val="center"/>
                </w:tcPr>
                <w:p w14:paraId="351B679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9</w:t>
                  </w:r>
                </w:p>
              </w:tc>
              <w:tc>
                <w:tcPr>
                  <w:tcW w:w="624" w:type="pct"/>
                  <w:vAlign w:val="center"/>
                </w:tcPr>
                <w:p w14:paraId="7EA85B07">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01</w:t>
                  </w:r>
                </w:p>
              </w:tc>
              <w:tc>
                <w:tcPr>
                  <w:tcW w:w="624" w:type="pct"/>
                  <w:vAlign w:val="center"/>
                </w:tcPr>
                <w:p w14:paraId="5FAFDB2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11</w:t>
                  </w:r>
                </w:p>
              </w:tc>
              <w:tc>
                <w:tcPr>
                  <w:tcW w:w="624" w:type="pct"/>
                  <w:vAlign w:val="center"/>
                </w:tcPr>
                <w:p w14:paraId="4D96F8D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53</w:t>
                  </w:r>
                </w:p>
              </w:tc>
              <w:tc>
                <w:tcPr>
                  <w:tcW w:w="726" w:type="pct"/>
                  <w:vAlign w:val="center"/>
                </w:tcPr>
                <w:p w14:paraId="7A415DD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43</w:t>
                  </w:r>
                </w:p>
              </w:tc>
              <w:tc>
                <w:tcPr>
                  <w:tcW w:w="524" w:type="pct"/>
                  <w:vAlign w:val="center"/>
                </w:tcPr>
                <w:p w14:paraId="3DDE4B35">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.28</w:t>
                  </w:r>
                </w:p>
              </w:tc>
            </w:tr>
            <w:tr w14:paraId="7A673F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4253C21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C30</w:t>
                  </w:r>
                </w:p>
              </w:tc>
              <w:tc>
                <w:tcPr>
                  <w:tcW w:w="624" w:type="pct"/>
                  <w:vAlign w:val="center"/>
                </w:tcPr>
                <w:p w14:paraId="14B2AD0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09</w:t>
                  </w:r>
                </w:p>
              </w:tc>
              <w:tc>
                <w:tcPr>
                  <w:tcW w:w="624" w:type="pct"/>
                  <w:vAlign w:val="center"/>
                </w:tcPr>
                <w:p w14:paraId="228D3F0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5</w:t>
                  </w:r>
                </w:p>
              </w:tc>
              <w:tc>
                <w:tcPr>
                  <w:tcW w:w="624" w:type="pct"/>
                  <w:vAlign w:val="center"/>
                </w:tcPr>
                <w:p w14:paraId="7DECEEC7">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8</w:t>
                  </w:r>
                  <w:r>
                    <w:rPr>
                      <w:rFonts w:ascii="Times New Roman" w:hAnsi="Times New Roman" w:eastAsia="宋体" w:cs="Times New Roman"/>
                      <w:color w:val="000000" w:themeColor="text1"/>
                      <w:szCs w:val="21"/>
                      <w:highlight w:val="none"/>
                      <w14:textFill>
                        <w14:solidFill>
                          <w14:schemeClr w14:val="tx1"/>
                        </w14:solidFill>
                      </w14:textFill>
                    </w:rPr>
                    <w:t>05</w:t>
                  </w:r>
                </w:p>
              </w:tc>
              <w:tc>
                <w:tcPr>
                  <w:tcW w:w="624" w:type="pct"/>
                  <w:vAlign w:val="center"/>
                </w:tcPr>
                <w:p w14:paraId="56B54A90">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07</w:t>
                  </w:r>
                </w:p>
              </w:tc>
              <w:tc>
                <w:tcPr>
                  <w:tcW w:w="624" w:type="pct"/>
                  <w:vAlign w:val="center"/>
                </w:tcPr>
                <w:p w14:paraId="4295B8D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33</w:t>
                  </w:r>
                </w:p>
              </w:tc>
              <w:tc>
                <w:tcPr>
                  <w:tcW w:w="726" w:type="pct"/>
                  <w:vAlign w:val="center"/>
                </w:tcPr>
                <w:p w14:paraId="1B06197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27</w:t>
                  </w:r>
                </w:p>
              </w:tc>
              <w:tc>
                <w:tcPr>
                  <w:tcW w:w="524" w:type="pct"/>
                  <w:vAlign w:val="center"/>
                </w:tcPr>
                <w:p w14:paraId="590952F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.64</w:t>
                  </w:r>
                </w:p>
              </w:tc>
            </w:tr>
            <w:tr w14:paraId="790567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05A69450">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C35</w:t>
                  </w:r>
                </w:p>
              </w:tc>
              <w:tc>
                <w:tcPr>
                  <w:tcW w:w="624" w:type="pct"/>
                  <w:vAlign w:val="center"/>
                </w:tcPr>
                <w:p w14:paraId="3580016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32</w:t>
                  </w:r>
                </w:p>
              </w:tc>
              <w:tc>
                <w:tcPr>
                  <w:tcW w:w="624" w:type="pct"/>
                  <w:vAlign w:val="center"/>
                </w:tcPr>
                <w:p w14:paraId="7923AE8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8</w:t>
                  </w:r>
                </w:p>
              </w:tc>
              <w:tc>
                <w:tcPr>
                  <w:tcW w:w="624" w:type="pct"/>
                  <w:vAlign w:val="center"/>
                </w:tcPr>
                <w:p w14:paraId="3680D956">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7</w:t>
                  </w:r>
                  <w:r>
                    <w:rPr>
                      <w:rFonts w:ascii="Times New Roman" w:hAnsi="Times New Roman" w:eastAsia="宋体" w:cs="Times New Roman"/>
                      <w:color w:val="000000" w:themeColor="text1"/>
                      <w:szCs w:val="21"/>
                      <w:highlight w:val="none"/>
                      <w14:textFill>
                        <w14:solidFill>
                          <w14:schemeClr w14:val="tx1"/>
                        </w14:solidFill>
                      </w14:textFill>
                    </w:rPr>
                    <w:t>94</w:t>
                  </w:r>
                </w:p>
              </w:tc>
              <w:tc>
                <w:tcPr>
                  <w:tcW w:w="624" w:type="pct"/>
                  <w:vAlign w:val="center"/>
                </w:tcPr>
                <w:p w14:paraId="0906D97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1</w:t>
                  </w:r>
                  <w:r>
                    <w:rPr>
                      <w:rFonts w:ascii="Times New Roman" w:hAnsi="Times New Roman" w:eastAsia="宋体" w:cs="Times New Roman"/>
                      <w:color w:val="000000" w:themeColor="text1"/>
                      <w:szCs w:val="21"/>
                      <w:highlight w:val="none"/>
                      <w14:textFill>
                        <w14:solidFill>
                          <w14:schemeClr w14:val="tx1"/>
                        </w14:solidFill>
                      </w14:textFill>
                    </w:rPr>
                    <w:t>05</w:t>
                  </w:r>
                </w:p>
              </w:tc>
              <w:tc>
                <w:tcPr>
                  <w:tcW w:w="624" w:type="pct"/>
                  <w:vAlign w:val="center"/>
                </w:tcPr>
                <w:p w14:paraId="7CD1D78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5</w:t>
                  </w:r>
                  <w:r>
                    <w:rPr>
                      <w:rFonts w:ascii="Times New Roman" w:hAnsi="Times New Roman" w:eastAsia="宋体" w:cs="Times New Roman"/>
                      <w:color w:val="000000" w:themeColor="text1"/>
                      <w:szCs w:val="21"/>
                      <w:highlight w:val="none"/>
                      <w14:textFill>
                        <w14:solidFill>
                          <w14:schemeClr w14:val="tx1"/>
                        </w14:solidFill>
                      </w14:textFill>
                    </w:rPr>
                    <w:t>26</w:t>
                  </w:r>
                </w:p>
              </w:tc>
              <w:tc>
                <w:tcPr>
                  <w:tcW w:w="726" w:type="pct"/>
                  <w:vAlign w:val="center"/>
                </w:tcPr>
                <w:p w14:paraId="5D08AA7C">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4</w:t>
                  </w:r>
                  <w:r>
                    <w:rPr>
                      <w:rFonts w:ascii="Times New Roman" w:hAnsi="Times New Roman" w:eastAsia="宋体" w:cs="Times New Roman"/>
                      <w:color w:val="000000" w:themeColor="text1"/>
                      <w:szCs w:val="21"/>
                      <w:highlight w:val="none"/>
                      <w14:textFill>
                        <w14:solidFill>
                          <w14:schemeClr w14:val="tx1"/>
                        </w14:solidFill>
                      </w14:textFill>
                    </w:rPr>
                    <w:t>21</w:t>
                  </w:r>
                </w:p>
              </w:tc>
              <w:tc>
                <w:tcPr>
                  <w:tcW w:w="524" w:type="pct"/>
                  <w:vAlign w:val="center"/>
                </w:tcPr>
                <w:p w14:paraId="08245471">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14:textFill>
                        <w14:solidFill>
                          <w14:schemeClr w14:val="tx1"/>
                        </w14:solidFill>
                      </w14:textFill>
                    </w:rPr>
                    <w:t>3</w:t>
                  </w:r>
                  <w:r>
                    <w:rPr>
                      <w:rFonts w:ascii="Times New Roman" w:hAnsi="Times New Roman" w:eastAsia="宋体" w:cs="Times New Roman"/>
                      <w:color w:val="000000" w:themeColor="text1"/>
                      <w:szCs w:val="21"/>
                      <w:highlight w:val="none"/>
                      <w14:textFill>
                        <w14:solidFill>
                          <w14:schemeClr w14:val="tx1"/>
                        </w14:solidFill>
                      </w14:textFill>
                    </w:rPr>
                    <w:t>.90</w:t>
                  </w:r>
                </w:p>
              </w:tc>
            </w:tr>
            <w:tr w14:paraId="5F103C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0667D0D6">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C40</w:t>
                  </w:r>
                </w:p>
              </w:tc>
              <w:tc>
                <w:tcPr>
                  <w:tcW w:w="624" w:type="pct"/>
                  <w:vAlign w:val="center"/>
                </w:tcPr>
                <w:p w14:paraId="2CAE6F5E">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290</w:t>
                  </w:r>
                </w:p>
              </w:tc>
              <w:tc>
                <w:tcPr>
                  <w:tcW w:w="624" w:type="pct"/>
                  <w:vAlign w:val="center"/>
                </w:tcPr>
                <w:p w14:paraId="63617F2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120</w:t>
                  </w:r>
                </w:p>
              </w:tc>
              <w:tc>
                <w:tcPr>
                  <w:tcW w:w="624" w:type="pct"/>
                  <w:vAlign w:val="center"/>
                </w:tcPr>
                <w:p w14:paraId="19366BE9">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753</w:t>
                  </w:r>
                </w:p>
              </w:tc>
              <w:tc>
                <w:tcPr>
                  <w:tcW w:w="624" w:type="pct"/>
                  <w:vAlign w:val="center"/>
                </w:tcPr>
                <w:p w14:paraId="2BEAFF2F">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217</w:t>
                  </w:r>
                </w:p>
              </w:tc>
              <w:tc>
                <w:tcPr>
                  <w:tcW w:w="624" w:type="pct"/>
                  <w:vAlign w:val="center"/>
                </w:tcPr>
                <w:p w14:paraId="276C08AC">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542</w:t>
                  </w:r>
                </w:p>
              </w:tc>
              <w:tc>
                <w:tcPr>
                  <w:tcW w:w="726" w:type="pct"/>
                  <w:vAlign w:val="center"/>
                </w:tcPr>
                <w:p w14:paraId="7DBA567A">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325</w:t>
                  </w:r>
                </w:p>
              </w:tc>
              <w:tc>
                <w:tcPr>
                  <w:tcW w:w="524" w:type="pct"/>
                  <w:vAlign w:val="center"/>
                </w:tcPr>
                <w:p w14:paraId="50C947F4">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4.15</w:t>
                  </w:r>
                </w:p>
              </w:tc>
            </w:tr>
            <w:tr w14:paraId="661A16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038C0A6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C50</w:t>
                  </w:r>
                </w:p>
              </w:tc>
              <w:tc>
                <w:tcPr>
                  <w:tcW w:w="624" w:type="pct"/>
                  <w:vAlign w:val="center"/>
                </w:tcPr>
                <w:p w14:paraId="49D7BF0D">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360</w:t>
                  </w:r>
                </w:p>
              </w:tc>
              <w:tc>
                <w:tcPr>
                  <w:tcW w:w="624" w:type="pct"/>
                  <w:vAlign w:val="center"/>
                </w:tcPr>
                <w:p w14:paraId="501BC68E">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72</w:t>
                  </w:r>
                </w:p>
              </w:tc>
              <w:tc>
                <w:tcPr>
                  <w:tcW w:w="624" w:type="pct"/>
                  <w:vAlign w:val="center"/>
                </w:tcPr>
                <w:p w14:paraId="23F3D4A8">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712</w:t>
                  </w:r>
                </w:p>
              </w:tc>
              <w:tc>
                <w:tcPr>
                  <w:tcW w:w="624" w:type="pct"/>
                  <w:vAlign w:val="center"/>
                </w:tcPr>
                <w:p w14:paraId="541FCD52">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349</w:t>
                  </w:r>
                </w:p>
              </w:tc>
              <w:tc>
                <w:tcPr>
                  <w:tcW w:w="624" w:type="pct"/>
                  <w:vAlign w:val="center"/>
                </w:tcPr>
                <w:p w14:paraId="718F492C">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814</w:t>
                  </w:r>
                </w:p>
              </w:tc>
              <w:tc>
                <w:tcPr>
                  <w:tcW w:w="726" w:type="pct"/>
                  <w:vAlign w:val="center"/>
                </w:tcPr>
                <w:p w14:paraId="02515B43">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w:t>
                  </w:r>
                </w:p>
              </w:tc>
              <w:tc>
                <w:tcPr>
                  <w:tcW w:w="524" w:type="pct"/>
                  <w:vAlign w:val="center"/>
                </w:tcPr>
                <w:p w14:paraId="3EF28AE6">
                  <w:pPr>
                    <w:adjustRightInd w:val="0"/>
                    <w:snapToGrid w:val="0"/>
                    <w:jc w:val="center"/>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4.80</w:t>
                  </w:r>
                </w:p>
              </w:tc>
            </w:tr>
            <w:tr w14:paraId="13A837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624" w:type="pct"/>
                  <w:vAlign w:val="center"/>
                </w:tcPr>
                <w:p w14:paraId="22395BC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C55</w:t>
                  </w:r>
                </w:p>
              </w:tc>
              <w:tc>
                <w:tcPr>
                  <w:tcW w:w="624" w:type="pct"/>
                  <w:vAlign w:val="center"/>
                </w:tcPr>
                <w:p w14:paraId="45056C85">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395</w:t>
                  </w:r>
                </w:p>
              </w:tc>
              <w:tc>
                <w:tcPr>
                  <w:tcW w:w="624" w:type="pct"/>
                  <w:vAlign w:val="center"/>
                </w:tcPr>
                <w:p w14:paraId="0FA22B5A">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140</w:t>
                  </w:r>
                </w:p>
              </w:tc>
              <w:tc>
                <w:tcPr>
                  <w:tcW w:w="624" w:type="pct"/>
                  <w:vAlign w:val="center"/>
                </w:tcPr>
                <w:p w14:paraId="008D9087">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610</w:t>
                  </w:r>
                </w:p>
              </w:tc>
              <w:tc>
                <w:tcPr>
                  <w:tcW w:w="624" w:type="pct"/>
                  <w:vAlign w:val="center"/>
                </w:tcPr>
                <w:p w14:paraId="73D7BDED">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325</w:t>
                  </w:r>
                </w:p>
              </w:tc>
              <w:tc>
                <w:tcPr>
                  <w:tcW w:w="624" w:type="pct"/>
                  <w:vAlign w:val="center"/>
                </w:tcPr>
                <w:p w14:paraId="2B3F27E8">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825</w:t>
                  </w:r>
                </w:p>
              </w:tc>
              <w:tc>
                <w:tcPr>
                  <w:tcW w:w="726" w:type="pct"/>
                  <w:vAlign w:val="center"/>
                </w:tcPr>
                <w:p w14:paraId="4A4F911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0</w:t>
                  </w:r>
                </w:p>
              </w:tc>
              <w:tc>
                <w:tcPr>
                  <w:tcW w:w="524" w:type="pct"/>
                  <w:vAlign w:val="center"/>
                </w:tcPr>
                <w:p w14:paraId="3651EFA4">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9.60</w:t>
                  </w:r>
                </w:p>
              </w:tc>
            </w:tr>
          </w:tbl>
          <w:p w14:paraId="58BD564A">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本项目主要原辅材料及能源消耗情况如下表所示。</w:t>
            </w:r>
          </w:p>
          <w:p w14:paraId="7FB3E3D9">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auto"/>
              <w:rPr>
                <w:rFonts w:ascii="Times New Roman" w:hAnsi="Times New Roman" w:eastAsia="宋体"/>
                <w:b/>
                <w:bCs/>
                <w:color w:val="000000" w:themeColor="text1"/>
                <w:kern w:val="0"/>
                <w:szCs w:val="21"/>
                <w:highlight w:val="none"/>
                <w14:textFill>
                  <w14:solidFill>
                    <w14:schemeClr w14:val="tx1"/>
                  </w14:solidFill>
                </w14:textFill>
              </w:rPr>
            </w:pPr>
            <w:r>
              <w:rPr>
                <w:rFonts w:ascii="Times New Roman" w:hAnsi="Times New Roman" w:eastAsia="宋体"/>
                <w:b/>
                <w:bCs/>
                <w:color w:val="000000" w:themeColor="text1"/>
                <w:kern w:val="0"/>
                <w:szCs w:val="21"/>
                <w:highlight w:val="none"/>
                <w14:textFill>
                  <w14:solidFill>
                    <w14:schemeClr w14:val="tx1"/>
                  </w14:solidFill>
                </w14:textFill>
              </w:rPr>
              <w:t>表2-</w:t>
            </w:r>
            <w:r>
              <w:rPr>
                <w:rFonts w:hint="eastAsia" w:ascii="Times New Roman" w:hAnsi="Times New Roman" w:eastAsia="宋体"/>
                <w:b/>
                <w:bCs/>
                <w:color w:val="000000" w:themeColor="text1"/>
                <w:kern w:val="0"/>
                <w:szCs w:val="21"/>
                <w:highlight w:val="none"/>
                <w:lang w:val="en-US" w:eastAsia="zh-CN"/>
                <w14:textFill>
                  <w14:solidFill>
                    <w14:schemeClr w14:val="tx1"/>
                  </w14:solidFill>
                </w14:textFill>
              </w:rPr>
              <w:t>15</w:t>
            </w:r>
            <w:r>
              <w:rPr>
                <w:rFonts w:ascii="Times New Roman" w:hAnsi="Times New Roman" w:eastAsia="宋体"/>
                <w:b/>
                <w:bCs/>
                <w:color w:val="000000" w:themeColor="text1"/>
                <w:kern w:val="0"/>
                <w:szCs w:val="21"/>
                <w:highlight w:val="none"/>
                <w14:textFill>
                  <w14:solidFill>
                    <w14:schemeClr w14:val="tx1"/>
                  </w14:solidFill>
                </w14:textFill>
              </w:rPr>
              <w:t xml:space="preserve">    原辅材料及能源消耗</w:t>
            </w:r>
          </w:p>
          <w:tbl>
            <w:tblPr>
              <w:tblStyle w:val="20"/>
              <w:tblW w:w="497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12"/>
              <w:gridCol w:w="398"/>
              <w:gridCol w:w="915"/>
              <w:gridCol w:w="1075"/>
              <w:gridCol w:w="849"/>
              <w:gridCol w:w="1084"/>
              <w:gridCol w:w="1138"/>
              <w:gridCol w:w="854"/>
              <w:gridCol w:w="981"/>
            </w:tblGrid>
            <w:tr w14:paraId="17F406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1110" w:type="dxa"/>
                  <w:gridSpan w:val="2"/>
                  <w:noWrap w:val="0"/>
                  <w:vAlign w:val="center"/>
                </w:tcPr>
                <w:p w14:paraId="5266013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序号</w:t>
                  </w:r>
                </w:p>
              </w:tc>
              <w:tc>
                <w:tcPr>
                  <w:tcW w:w="915" w:type="dxa"/>
                  <w:noWrap w:val="0"/>
                  <w:vAlign w:val="center"/>
                </w:tcPr>
                <w:p w14:paraId="7F07F91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名称</w:t>
                  </w:r>
                </w:p>
              </w:tc>
              <w:tc>
                <w:tcPr>
                  <w:tcW w:w="1075" w:type="dxa"/>
                  <w:noWrap w:val="0"/>
                  <w:vAlign w:val="center"/>
                </w:tcPr>
                <w:p w14:paraId="330E7CC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单位</w:t>
                  </w:r>
                </w:p>
              </w:tc>
              <w:tc>
                <w:tcPr>
                  <w:tcW w:w="849" w:type="dxa"/>
                  <w:noWrap w:val="0"/>
                  <w:vAlign w:val="center"/>
                </w:tcPr>
                <w:p w14:paraId="7E54A3E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耗量</w:t>
                  </w:r>
                </w:p>
              </w:tc>
              <w:tc>
                <w:tcPr>
                  <w:tcW w:w="1084" w:type="dxa"/>
                  <w:noWrap w:val="0"/>
                  <w:vAlign w:val="center"/>
                </w:tcPr>
                <w:p w14:paraId="2C88619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原料性状</w:t>
                  </w:r>
                </w:p>
              </w:tc>
              <w:tc>
                <w:tcPr>
                  <w:tcW w:w="1138" w:type="dxa"/>
                  <w:noWrap w:val="0"/>
                  <w:vAlign w:val="center"/>
                </w:tcPr>
                <w:p w14:paraId="445A59B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储存方式</w:t>
                  </w:r>
                </w:p>
              </w:tc>
              <w:tc>
                <w:tcPr>
                  <w:tcW w:w="854" w:type="dxa"/>
                  <w:noWrap w:val="0"/>
                  <w:vAlign w:val="center"/>
                </w:tcPr>
                <w:p w14:paraId="6052EBD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来源</w:t>
                  </w:r>
                </w:p>
              </w:tc>
              <w:tc>
                <w:tcPr>
                  <w:tcW w:w="981" w:type="dxa"/>
                  <w:noWrap w:val="0"/>
                  <w:vAlign w:val="center"/>
                </w:tcPr>
                <w:p w14:paraId="1794873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运输方式</w:t>
                  </w:r>
                </w:p>
              </w:tc>
            </w:tr>
            <w:tr w14:paraId="3BBECB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restart"/>
                  <w:noWrap w:val="0"/>
                  <w:vAlign w:val="center"/>
                </w:tcPr>
                <w:p w14:paraId="183C0FB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主料</w:t>
                  </w:r>
                </w:p>
              </w:tc>
              <w:tc>
                <w:tcPr>
                  <w:tcW w:w="398" w:type="dxa"/>
                  <w:vMerge w:val="restart"/>
                  <w:noWrap w:val="0"/>
                  <w:vAlign w:val="center"/>
                </w:tcPr>
                <w:p w14:paraId="028438C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t>破碎加工</w:t>
                  </w:r>
                </w:p>
              </w:tc>
              <w:tc>
                <w:tcPr>
                  <w:tcW w:w="915" w:type="dxa"/>
                  <w:vMerge w:val="restart"/>
                  <w:noWrap w:val="0"/>
                  <w:vAlign w:val="center"/>
                </w:tcPr>
                <w:p w14:paraId="38A28976">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道路及附属设施拆除物</w:t>
                  </w:r>
                </w:p>
              </w:tc>
              <w:tc>
                <w:tcPr>
                  <w:tcW w:w="1075" w:type="dxa"/>
                  <w:noWrap w:val="0"/>
                  <w:vAlign w:val="center"/>
                </w:tcPr>
                <w:p w14:paraId="69A7B02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t>方</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/年</w:t>
                  </w:r>
                </w:p>
              </w:tc>
              <w:tc>
                <w:tcPr>
                  <w:tcW w:w="849" w:type="dxa"/>
                  <w:noWrap w:val="0"/>
                  <w:vAlign w:val="center"/>
                </w:tcPr>
                <w:p w14:paraId="0BCF864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3.85</w:t>
                  </w:r>
                </w:p>
              </w:tc>
              <w:tc>
                <w:tcPr>
                  <w:tcW w:w="1084" w:type="dxa"/>
                  <w:noWrap w:val="0"/>
                  <w:vAlign w:val="center"/>
                </w:tcPr>
                <w:p w14:paraId="42FF12B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4559412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061A775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原路拆除</w:t>
                  </w:r>
                </w:p>
              </w:tc>
              <w:tc>
                <w:tcPr>
                  <w:tcW w:w="981" w:type="dxa"/>
                  <w:noWrap w:val="0"/>
                  <w:vAlign w:val="center"/>
                </w:tcPr>
                <w:p w14:paraId="2D8C4DA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08E73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9F64A0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43BD7AA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vMerge w:val="continue"/>
                  <w:noWrap w:val="0"/>
                  <w:vAlign w:val="center"/>
                </w:tcPr>
                <w:p w14:paraId="20AC690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1075" w:type="dxa"/>
                  <w:noWrap w:val="0"/>
                  <w:vAlign w:val="center"/>
                </w:tcPr>
                <w:p w14:paraId="636EE53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t>方</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/年</w:t>
                  </w:r>
                </w:p>
              </w:tc>
              <w:tc>
                <w:tcPr>
                  <w:tcW w:w="849" w:type="dxa"/>
                  <w:noWrap w:val="0"/>
                  <w:vAlign w:val="center"/>
                </w:tcPr>
                <w:p w14:paraId="0916B0D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0.06</w:t>
                  </w:r>
                </w:p>
              </w:tc>
              <w:tc>
                <w:tcPr>
                  <w:tcW w:w="1084" w:type="dxa"/>
                  <w:noWrap w:val="0"/>
                  <w:vAlign w:val="center"/>
                </w:tcPr>
                <w:p w14:paraId="3906738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5D657C5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7ECAC080">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分离式立交拆除</w:t>
                  </w:r>
                </w:p>
              </w:tc>
              <w:tc>
                <w:tcPr>
                  <w:tcW w:w="981" w:type="dxa"/>
                  <w:noWrap w:val="0"/>
                  <w:vAlign w:val="center"/>
                </w:tcPr>
                <w:p w14:paraId="3F4EDC3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09AFCD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1070218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0099A3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vMerge w:val="continue"/>
                  <w:noWrap w:val="0"/>
                  <w:vAlign w:val="center"/>
                </w:tcPr>
                <w:p w14:paraId="4968B32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1075" w:type="dxa"/>
                  <w:noWrap w:val="0"/>
                  <w:vAlign w:val="center"/>
                </w:tcPr>
                <w:p w14:paraId="3C9AD03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t>方</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/年</w:t>
                  </w:r>
                </w:p>
              </w:tc>
              <w:tc>
                <w:tcPr>
                  <w:tcW w:w="849" w:type="dxa"/>
                  <w:noWrap w:val="0"/>
                  <w:vAlign w:val="center"/>
                </w:tcPr>
                <w:p w14:paraId="0CEA23B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0.08</w:t>
                  </w:r>
                </w:p>
              </w:tc>
              <w:tc>
                <w:tcPr>
                  <w:tcW w:w="1084" w:type="dxa"/>
                  <w:noWrap w:val="0"/>
                  <w:vAlign w:val="center"/>
                </w:tcPr>
                <w:p w14:paraId="2921BA3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29DF167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2A6BCE7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人行天桥拆除</w:t>
                  </w:r>
                </w:p>
              </w:tc>
              <w:tc>
                <w:tcPr>
                  <w:tcW w:w="981" w:type="dxa"/>
                  <w:noWrap w:val="0"/>
                  <w:vAlign w:val="center"/>
                </w:tcPr>
                <w:p w14:paraId="0B38E7E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72718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02" w:hRule="atLeast"/>
                <w:jc w:val="center"/>
              </w:trPr>
              <w:tc>
                <w:tcPr>
                  <w:tcW w:w="712" w:type="dxa"/>
                  <w:vMerge w:val="continue"/>
                  <w:noWrap w:val="0"/>
                  <w:vAlign w:val="center"/>
                </w:tcPr>
                <w:p w14:paraId="2CCEB5C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22AC712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vMerge w:val="continue"/>
                  <w:noWrap w:val="0"/>
                  <w:vAlign w:val="center"/>
                </w:tcPr>
                <w:p w14:paraId="44EE3A19">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1075" w:type="dxa"/>
                  <w:noWrap w:val="0"/>
                  <w:vAlign w:val="center"/>
                </w:tcPr>
                <w:p w14:paraId="7239B1A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t>方</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/年</w:t>
                  </w:r>
                </w:p>
              </w:tc>
              <w:tc>
                <w:tcPr>
                  <w:tcW w:w="849" w:type="dxa"/>
                  <w:noWrap w:val="0"/>
                  <w:vAlign w:val="center"/>
                </w:tcPr>
                <w:p w14:paraId="4C9EC1F0">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0.08</w:t>
                  </w:r>
                </w:p>
              </w:tc>
              <w:tc>
                <w:tcPr>
                  <w:tcW w:w="1084" w:type="dxa"/>
                  <w:noWrap w:val="0"/>
                  <w:vAlign w:val="center"/>
                </w:tcPr>
                <w:p w14:paraId="0E2236A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30F84AC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79FC965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原涵拆除</w:t>
                  </w:r>
                </w:p>
              </w:tc>
              <w:tc>
                <w:tcPr>
                  <w:tcW w:w="981" w:type="dxa"/>
                  <w:noWrap w:val="0"/>
                  <w:vAlign w:val="center"/>
                </w:tcPr>
                <w:p w14:paraId="477539F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DE886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2FD0D10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42120EB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vMerge w:val="continue"/>
                  <w:noWrap w:val="0"/>
                  <w:vAlign w:val="center"/>
                </w:tcPr>
                <w:p w14:paraId="4AF466A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1075" w:type="dxa"/>
                  <w:noWrap w:val="0"/>
                  <w:vAlign w:val="center"/>
                </w:tcPr>
                <w:p w14:paraId="34C76CE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eastAsia" w:ascii="Times New Roman" w:hAnsi="Times New Roman" w:eastAsia="宋体" w:cs="Times New Roman"/>
                      <w:color w:val="000000" w:themeColor="text1"/>
                      <w:kern w:val="0"/>
                      <w:sz w:val="21"/>
                      <w:szCs w:val="21"/>
                      <w:highlight w:val="none"/>
                      <w:lang w:eastAsia="zh-CN"/>
                      <w14:textFill>
                        <w14:solidFill>
                          <w14:schemeClr w14:val="tx1"/>
                        </w14:solidFill>
                      </w14:textFill>
                    </w:rPr>
                    <w:t>方</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/年</w:t>
                  </w:r>
                </w:p>
              </w:tc>
              <w:tc>
                <w:tcPr>
                  <w:tcW w:w="849" w:type="dxa"/>
                  <w:noWrap w:val="0"/>
                  <w:vAlign w:val="center"/>
                </w:tcPr>
                <w:p w14:paraId="3C1E5409">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1.2</w:t>
                  </w:r>
                </w:p>
              </w:tc>
              <w:tc>
                <w:tcPr>
                  <w:tcW w:w="1084" w:type="dxa"/>
                  <w:noWrap w:val="0"/>
                  <w:vAlign w:val="center"/>
                </w:tcPr>
                <w:p w14:paraId="430D510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50D73AF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7062E41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原桥拆除</w:t>
                  </w:r>
                </w:p>
              </w:tc>
              <w:tc>
                <w:tcPr>
                  <w:tcW w:w="981" w:type="dxa"/>
                  <w:noWrap w:val="0"/>
                  <w:vAlign w:val="center"/>
                </w:tcPr>
                <w:p w14:paraId="4E0FDBA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C6E16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1D0E878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restart"/>
                  <w:noWrap w:val="0"/>
                  <w:vAlign w:val="center"/>
                </w:tcPr>
                <w:p w14:paraId="408DCF8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t>水稳站</w:t>
                  </w:r>
                </w:p>
              </w:tc>
              <w:tc>
                <w:tcPr>
                  <w:tcW w:w="915" w:type="dxa"/>
                  <w:noWrap w:val="0"/>
                  <w:vAlign w:val="center"/>
                </w:tcPr>
                <w:p w14:paraId="0994152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碎石</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5</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-31.5mm）</w:t>
                  </w:r>
                </w:p>
              </w:tc>
              <w:tc>
                <w:tcPr>
                  <w:tcW w:w="1075" w:type="dxa"/>
                  <w:noWrap w:val="0"/>
                  <w:vAlign w:val="center"/>
                </w:tcPr>
                <w:p w14:paraId="24C9B5D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7914B54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18</w:t>
                  </w:r>
                </w:p>
              </w:tc>
              <w:tc>
                <w:tcPr>
                  <w:tcW w:w="1084" w:type="dxa"/>
                  <w:noWrap w:val="0"/>
                  <w:vAlign w:val="center"/>
                </w:tcPr>
                <w:p w14:paraId="2D08EE9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594EEBD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68B0A38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原桥拆除</w:t>
                  </w:r>
                </w:p>
              </w:tc>
              <w:tc>
                <w:tcPr>
                  <w:tcW w:w="981" w:type="dxa"/>
                  <w:noWrap w:val="0"/>
                  <w:vAlign w:val="center"/>
                </w:tcPr>
                <w:p w14:paraId="7A62C05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24043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3F638C1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4362A82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noWrap w:val="0"/>
                  <w:vAlign w:val="center"/>
                </w:tcPr>
                <w:p w14:paraId="4B3D14F7">
                  <w:pPr>
                    <w:keepNext w:val="0"/>
                    <w:keepLines w:val="0"/>
                    <w:pageBreakBefore w:val="0"/>
                    <w:kinsoku/>
                    <w:wordWrap/>
                    <w:overflowPunct/>
                    <w:topLinePunct w:val="0"/>
                    <w:bidi w:val="0"/>
                    <w:adjustRightInd w:val="0"/>
                    <w:snapToGrid w:val="0"/>
                    <w:spacing w:line="240" w:lineRule="auto"/>
                    <w:ind w:left="0" w:leftChars="0"/>
                    <w:jc w:val="cente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石粉</w:t>
                  </w:r>
                </w:p>
              </w:tc>
              <w:tc>
                <w:tcPr>
                  <w:tcW w:w="1075" w:type="dxa"/>
                  <w:noWrap w:val="0"/>
                  <w:vAlign w:val="center"/>
                </w:tcPr>
                <w:p w14:paraId="1433FE8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5B72D25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c>
                <w:tcPr>
                  <w:tcW w:w="1084" w:type="dxa"/>
                  <w:noWrap w:val="0"/>
                  <w:vAlign w:val="center"/>
                </w:tcPr>
                <w:p w14:paraId="7035840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粉状</w:t>
                  </w:r>
                </w:p>
              </w:tc>
              <w:tc>
                <w:tcPr>
                  <w:tcW w:w="1138" w:type="dxa"/>
                  <w:noWrap w:val="0"/>
                  <w:vAlign w:val="center"/>
                </w:tcPr>
                <w:p w14:paraId="78C05A8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5116313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原桥拆除</w:t>
                  </w:r>
                </w:p>
              </w:tc>
              <w:tc>
                <w:tcPr>
                  <w:tcW w:w="981" w:type="dxa"/>
                  <w:noWrap w:val="0"/>
                  <w:vAlign w:val="center"/>
                </w:tcPr>
                <w:p w14:paraId="3A447F3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5C7604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51E7BCC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5CE8CC5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eastAsia"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noWrap w:val="0"/>
                  <w:vAlign w:val="center"/>
                </w:tcPr>
                <w:p w14:paraId="40F73E51">
                  <w:pPr>
                    <w:keepNext w:val="0"/>
                    <w:keepLines w:val="0"/>
                    <w:pageBreakBefore w:val="0"/>
                    <w:kinsoku/>
                    <w:wordWrap/>
                    <w:overflowPunct/>
                    <w:topLinePunct w:val="0"/>
                    <w:bidi w:val="0"/>
                    <w:adjustRightInd w:val="0"/>
                    <w:snapToGrid w:val="0"/>
                    <w:spacing w:line="240" w:lineRule="auto"/>
                    <w:ind w:left="0" w:leftChars="0"/>
                    <w:jc w:val="cente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水泥</w:t>
                  </w:r>
                </w:p>
              </w:tc>
              <w:tc>
                <w:tcPr>
                  <w:tcW w:w="1075" w:type="dxa"/>
                  <w:noWrap w:val="0"/>
                  <w:vAlign w:val="center"/>
                </w:tcPr>
                <w:p w14:paraId="5784745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6BE7DD9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1.5</w:t>
                  </w:r>
                </w:p>
              </w:tc>
              <w:tc>
                <w:tcPr>
                  <w:tcW w:w="1084" w:type="dxa"/>
                  <w:noWrap w:val="0"/>
                  <w:vAlign w:val="center"/>
                </w:tcPr>
                <w:p w14:paraId="626A2D5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粉状</w:t>
                  </w:r>
                </w:p>
              </w:tc>
              <w:tc>
                <w:tcPr>
                  <w:tcW w:w="1138" w:type="dxa"/>
                  <w:noWrap w:val="0"/>
                  <w:vAlign w:val="center"/>
                </w:tcPr>
                <w:p w14:paraId="08F4378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水泥筒仓</w:t>
                  </w:r>
                </w:p>
              </w:tc>
              <w:tc>
                <w:tcPr>
                  <w:tcW w:w="854" w:type="dxa"/>
                  <w:noWrap w:val="0"/>
                  <w:vAlign w:val="center"/>
                </w:tcPr>
                <w:p w14:paraId="548AD1B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1C0DA42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罐车运输</w:t>
                  </w:r>
                </w:p>
              </w:tc>
            </w:tr>
            <w:tr w14:paraId="3F2FA46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2BF439A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121D1CD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7F23D8AA">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w:t>
                  </w:r>
                </w:p>
              </w:tc>
              <w:tc>
                <w:tcPr>
                  <w:tcW w:w="1075" w:type="dxa"/>
                  <w:noWrap w:val="0"/>
                  <w:vAlign w:val="center"/>
                </w:tcPr>
                <w:p w14:paraId="631725E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407F4B2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1.0</w:t>
                  </w:r>
                </w:p>
              </w:tc>
              <w:tc>
                <w:tcPr>
                  <w:tcW w:w="1084" w:type="dxa"/>
                  <w:noWrap w:val="0"/>
                  <w:vAlign w:val="center"/>
                </w:tcPr>
                <w:p w14:paraId="37BB4E3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1D16A86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储水罐</w:t>
                  </w:r>
                </w:p>
              </w:tc>
              <w:tc>
                <w:tcPr>
                  <w:tcW w:w="854" w:type="dxa"/>
                  <w:noWrap w:val="0"/>
                  <w:vAlign w:val="center"/>
                </w:tcPr>
                <w:p w14:paraId="47AE0A86">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自来</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水</w:t>
                  </w:r>
                </w:p>
              </w:tc>
              <w:tc>
                <w:tcPr>
                  <w:tcW w:w="981" w:type="dxa"/>
                  <w:noWrap w:val="0"/>
                  <w:vAlign w:val="center"/>
                </w:tcPr>
                <w:p w14:paraId="79A1D87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管道连接</w:t>
                  </w:r>
                </w:p>
              </w:tc>
            </w:tr>
            <w:tr w14:paraId="381378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186BB3B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restart"/>
                  <w:noWrap w:val="0"/>
                  <w:vAlign w:val="center"/>
                </w:tcPr>
                <w:p w14:paraId="0D996B4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t>商品混凝土</w:t>
                  </w: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搅</w:t>
                  </w:r>
                </w:p>
                <w:p w14:paraId="49E0A96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拌</w:t>
                  </w:r>
                </w:p>
                <w:p w14:paraId="1DE0C84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系</w:t>
                  </w:r>
                </w:p>
                <w:p w14:paraId="5F80CC5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统</w:t>
                  </w:r>
                </w:p>
              </w:tc>
              <w:tc>
                <w:tcPr>
                  <w:tcW w:w="915" w:type="dxa"/>
                  <w:noWrap w:val="0"/>
                  <w:vAlign w:val="center"/>
                </w:tcPr>
                <w:p w14:paraId="3C2B1BE0">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水泥（P.42.5）</w:t>
                  </w:r>
                </w:p>
              </w:tc>
              <w:tc>
                <w:tcPr>
                  <w:tcW w:w="1075" w:type="dxa"/>
                  <w:noWrap w:val="0"/>
                  <w:vAlign w:val="center"/>
                </w:tcPr>
                <w:p w14:paraId="354DCBD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724699F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2.86</w:t>
                  </w:r>
                </w:p>
              </w:tc>
              <w:tc>
                <w:tcPr>
                  <w:tcW w:w="1084" w:type="dxa"/>
                  <w:noWrap w:val="0"/>
                  <w:vAlign w:val="center"/>
                </w:tcPr>
                <w:p w14:paraId="755DDBA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粉状</w:t>
                  </w:r>
                </w:p>
              </w:tc>
              <w:tc>
                <w:tcPr>
                  <w:tcW w:w="1138" w:type="dxa"/>
                  <w:noWrap w:val="0"/>
                  <w:vAlign w:val="center"/>
                </w:tcPr>
                <w:p w14:paraId="7D8CF96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水泥筒仓</w:t>
                  </w:r>
                </w:p>
              </w:tc>
              <w:tc>
                <w:tcPr>
                  <w:tcW w:w="854" w:type="dxa"/>
                  <w:noWrap w:val="0"/>
                  <w:vAlign w:val="center"/>
                </w:tcPr>
                <w:p w14:paraId="7C6D753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58FBD2E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罐车运输</w:t>
                  </w:r>
                </w:p>
              </w:tc>
            </w:tr>
            <w:tr w14:paraId="5C9842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4023E60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0FE4C38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78C5A8AB">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粉煤灰</w:t>
                  </w:r>
                </w:p>
                <w:p w14:paraId="09191C2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（F类1级）</w:t>
                  </w:r>
                </w:p>
              </w:tc>
              <w:tc>
                <w:tcPr>
                  <w:tcW w:w="1075" w:type="dxa"/>
                  <w:noWrap w:val="0"/>
                  <w:vAlign w:val="center"/>
                </w:tcPr>
                <w:p w14:paraId="16A9052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601B803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0.54</w:t>
                  </w:r>
                </w:p>
              </w:tc>
              <w:tc>
                <w:tcPr>
                  <w:tcW w:w="1084" w:type="dxa"/>
                  <w:noWrap w:val="0"/>
                  <w:vAlign w:val="center"/>
                </w:tcPr>
                <w:p w14:paraId="2B1577C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粉状</w:t>
                  </w:r>
                </w:p>
              </w:tc>
              <w:tc>
                <w:tcPr>
                  <w:tcW w:w="1138" w:type="dxa"/>
                  <w:noWrap w:val="0"/>
                  <w:vAlign w:val="center"/>
                </w:tcPr>
                <w:p w14:paraId="16D5DB9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粉煤灰筒仓</w:t>
                  </w:r>
                </w:p>
              </w:tc>
              <w:tc>
                <w:tcPr>
                  <w:tcW w:w="854" w:type="dxa"/>
                  <w:noWrap w:val="0"/>
                  <w:vAlign w:val="center"/>
                </w:tcPr>
                <w:p w14:paraId="1221D3A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010D5F2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757FDA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3E2E17C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3607A99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324FA39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细骨料</w:t>
                  </w:r>
                </w:p>
                <w:p w14:paraId="3DE2608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（细砂）</w:t>
                  </w:r>
                </w:p>
              </w:tc>
              <w:tc>
                <w:tcPr>
                  <w:tcW w:w="1075" w:type="dxa"/>
                  <w:noWrap w:val="0"/>
                  <w:vAlign w:val="center"/>
                </w:tcPr>
                <w:p w14:paraId="083895A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58FAA4E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7.95</w:t>
                  </w:r>
                </w:p>
              </w:tc>
              <w:tc>
                <w:tcPr>
                  <w:tcW w:w="1084" w:type="dxa"/>
                  <w:noWrap w:val="0"/>
                  <w:vAlign w:val="center"/>
                </w:tcPr>
                <w:p w14:paraId="77E1485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7762508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4523A03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212E132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10574E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18758C2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64EE677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5F112EE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粗骨料（5-10mm）</w:t>
                  </w:r>
                </w:p>
              </w:tc>
              <w:tc>
                <w:tcPr>
                  <w:tcW w:w="1075" w:type="dxa"/>
                  <w:noWrap w:val="0"/>
                  <w:vAlign w:val="center"/>
                </w:tcPr>
                <w:p w14:paraId="5733EB9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0774E94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1.44</w:t>
                  </w:r>
                </w:p>
              </w:tc>
              <w:tc>
                <w:tcPr>
                  <w:tcW w:w="1084" w:type="dxa"/>
                  <w:noWrap w:val="0"/>
                  <w:vAlign w:val="center"/>
                </w:tcPr>
                <w:p w14:paraId="53C3FF6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2B2CD41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3597F1E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23C787C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063C3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296553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5F116B4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47009CF3">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粗骨料（10-</w:t>
                  </w: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16</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mm）</w:t>
                  </w:r>
                </w:p>
              </w:tc>
              <w:tc>
                <w:tcPr>
                  <w:tcW w:w="1075" w:type="dxa"/>
                  <w:noWrap w:val="0"/>
                  <w:vAlign w:val="center"/>
                </w:tcPr>
                <w:p w14:paraId="2535C85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4AE573E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5.84</w:t>
                  </w:r>
                </w:p>
              </w:tc>
              <w:tc>
                <w:tcPr>
                  <w:tcW w:w="1084" w:type="dxa"/>
                  <w:noWrap w:val="0"/>
                  <w:vAlign w:val="center"/>
                </w:tcPr>
                <w:p w14:paraId="15AB32D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03D9821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5B9359D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244BF7D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7A4C09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2CC4E0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53AD22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71A4849A">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粗骨料（16-31.5mm）</w:t>
                  </w:r>
                </w:p>
              </w:tc>
              <w:tc>
                <w:tcPr>
                  <w:tcW w:w="1075" w:type="dxa"/>
                  <w:noWrap w:val="0"/>
                  <w:vAlign w:val="center"/>
                </w:tcPr>
                <w:p w14:paraId="65BA6D1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6A65617F">
                  <w:pPr>
                    <w:keepNext w:val="0"/>
                    <w:keepLines w:val="0"/>
                    <w:pageBreakBefore w:val="0"/>
                    <w:tabs>
                      <w:tab w:val="left" w:pos="474"/>
                    </w:tabs>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3.81</w:t>
                  </w:r>
                </w:p>
              </w:tc>
              <w:tc>
                <w:tcPr>
                  <w:tcW w:w="1084" w:type="dxa"/>
                  <w:noWrap w:val="0"/>
                  <w:vAlign w:val="center"/>
                </w:tcPr>
                <w:p w14:paraId="4488681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固体</w:t>
                  </w:r>
                </w:p>
              </w:tc>
              <w:tc>
                <w:tcPr>
                  <w:tcW w:w="1138" w:type="dxa"/>
                  <w:noWrap w:val="0"/>
                  <w:vAlign w:val="center"/>
                </w:tcPr>
                <w:p w14:paraId="73856CC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砂石料仓</w:t>
                  </w:r>
                </w:p>
              </w:tc>
              <w:tc>
                <w:tcPr>
                  <w:tcW w:w="854" w:type="dxa"/>
                  <w:noWrap w:val="0"/>
                  <w:vAlign w:val="center"/>
                </w:tcPr>
                <w:p w14:paraId="1210B3A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3AD677F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2E7786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326B62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586F02E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2832FA2A">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外加剂</w:t>
                  </w:r>
                </w:p>
              </w:tc>
              <w:tc>
                <w:tcPr>
                  <w:tcW w:w="1075" w:type="dxa"/>
                  <w:noWrap w:val="0"/>
                  <w:vAlign w:val="center"/>
                </w:tcPr>
                <w:p w14:paraId="58955E7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76FF9B0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0.03</w:t>
                  </w:r>
                </w:p>
              </w:tc>
              <w:tc>
                <w:tcPr>
                  <w:tcW w:w="1084" w:type="dxa"/>
                  <w:noWrap w:val="0"/>
                  <w:vAlign w:val="center"/>
                </w:tcPr>
                <w:p w14:paraId="6D73979E">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粉状</w:t>
                  </w:r>
                </w:p>
              </w:tc>
              <w:tc>
                <w:tcPr>
                  <w:tcW w:w="1138" w:type="dxa"/>
                  <w:noWrap w:val="0"/>
                  <w:vAlign w:val="center"/>
                </w:tcPr>
                <w:p w14:paraId="60D7E47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罐装</w:t>
                  </w:r>
                </w:p>
              </w:tc>
              <w:tc>
                <w:tcPr>
                  <w:tcW w:w="854" w:type="dxa"/>
                  <w:noWrap w:val="0"/>
                  <w:vAlign w:val="center"/>
                </w:tcPr>
                <w:p w14:paraId="719DB507">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31172A9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1E63A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2FA0AD9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139993F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080C7B4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水</w:t>
                  </w:r>
                </w:p>
              </w:tc>
              <w:tc>
                <w:tcPr>
                  <w:tcW w:w="1075" w:type="dxa"/>
                  <w:noWrap w:val="0"/>
                  <w:vAlign w:val="center"/>
                </w:tcPr>
                <w:p w14:paraId="26E2668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45B9822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1084" w:type="dxa"/>
                  <w:noWrap w:val="0"/>
                  <w:vAlign w:val="center"/>
                </w:tcPr>
                <w:p w14:paraId="0D3ACA2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7B1AA2A3">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储水罐</w:t>
                  </w:r>
                </w:p>
              </w:tc>
              <w:tc>
                <w:tcPr>
                  <w:tcW w:w="854" w:type="dxa"/>
                  <w:noWrap w:val="0"/>
                  <w:vAlign w:val="center"/>
                </w:tcPr>
                <w:p w14:paraId="0985E04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自来</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水</w:t>
                  </w:r>
                </w:p>
              </w:tc>
              <w:tc>
                <w:tcPr>
                  <w:tcW w:w="981" w:type="dxa"/>
                  <w:noWrap w:val="0"/>
                  <w:vAlign w:val="center"/>
                </w:tcPr>
                <w:p w14:paraId="1EB2A28E">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管道连接</w:t>
                  </w:r>
                </w:p>
              </w:tc>
            </w:tr>
            <w:tr w14:paraId="17110E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7648A05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restart"/>
                  <w:noWrap w:val="0"/>
                  <w:vAlign w:val="center"/>
                </w:tcPr>
                <w:p w14:paraId="2CBEE9A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t>钢筋加工厂</w:t>
                  </w:r>
                </w:p>
              </w:tc>
              <w:tc>
                <w:tcPr>
                  <w:tcW w:w="915" w:type="dxa"/>
                  <w:noWrap w:val="0"/>
                  <w:vAlign w:val="center"/>
                </w:tcPr>
                <w:p w14:paraId="17AA9ED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钢筋</w:t>
                  </w:r>
                </w:p>
              </w:tc>
              <w:tc>
                <w:tcPr>
                  <w:tcW w:w="1075" w:type="dxa"/>
                  <w:noWrap w:val="0"/>
                  <w:vAlign w:val="center"/>
                </w:tcPr>
                <w:p w14:paraId="7956D64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6FB54407">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0.81</w:t>
                  </w:r>
                </w:p>
              </w:tc>
              <w:tc>
                <w:tcPr>
                  <w:tcW w:w="1084" w:type="dxa"/>
                  <w:noWrap w:val="0"/>
                  <w:vAlign w:val="center"/>
                </w:tcPr>
                <w:p w14:paraId="17D46B4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直条、盘卷</w:t>
                  </w:r>
                </w:p>
              </w:tc>
              <w:tc>
                <w:tcPr>
                  <w:tcW w:w="1138" w:type="dxa"/>
                  <w:noWrap w:val="0"/>
                  <w:vAlign w:val="center"/>
                </w:tcPr>
                <w:p w14:paraId="06F71EE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854" w:type="dxa"/>
                  <w:noWrap w:val="0"/>
                  <w:vAlign w:val="center"/>
                </w:tcPr>
                <w:p w14:paraId="4411D84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0A0D159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25FEC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119FAEB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6967A2D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p>
              </w:tc>
              <w:tc>
                <w:tcPr>
                  <w:tcW w:w="915" w:type="dxa"/>
                  <w:noWrap w:val="0"/>
                  <w:vAlign w:val="center"/>
                </w:tcPr>
                <w:p w14:paraId="6CDE04C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焊料</w:t>
                  </w:r>
                </w:p>
                <w:p w14:paraId="7ED1328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（焊条）</w:t>
                  </w:r>
                </w:p>
              </w:tc>
              <w:tc>
                <w:tcPr>
                  <w:tcW w:w="1075" w:type="dxa"/>
                  <w:noWrap w:val="0"/>
                  <w:vAlign w:val="center"/>
                </w:tcPr>
                <w:p w14:paraId="3B66AF3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w:t>
                  </w:r>
                </w:p>
              </w:tc>
              <w:tc>
                <w:tcPr>
                  <w:tcW w:w="849" w:type="dxa"/>
                  <w:noWrap w:val="0"/>
                  <w:vAlign w:val="center"/>
                </w:tcPr>
                <w:p w14:paraId="0BD0B58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1084" w:type="dxa"/>
                  <w:noWrap w:val="0"/>
                  <w:vAlign w:val="center"/>
                </w:tcPr>
                <w:p w14:paraId="4B4239B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J502直条</w:t>
                  </w:r>
                </w:p>
              </w:tc>
              <w:tc>
                <w:tcPr>
                  <w:tcW w:w="1138" w:type="dxa"/>
                  <w:noWrap w:val="0"/>
                  <w:vAlign w:val="center"/>
                </w:tcPr>
                <w:p w14:paraId="569D78B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854" w:type="dxa"/>
                  <w:noWrap w:val="0"/>
                  <w:vAlign w:val="center"/>
                </w:tcPr>
                <w:p w14:paraId="3910AE9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042D744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617D54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366B86F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restart"/>
                  <w:noWrap w:val="0"/>
                  <w:vAlign w:val="center"/>
                </w:tcPr>
                <w:p w14:paraId="0BC4C3F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eastAsia="zh-CN"/>
                      <w14:textFill>
                        <w14:solidFill>
                          <w14:schemeClr w14:val="tx1"/>
                        </w14:solidFill>
                      </w14:textFill>
                    </w:rPr>
                    <w:t>预制梁厂</w:t>
                  </w:r>
                </w:p>
              </w:tc>
              <w:tc>
                <w:tcPr>
                  <w:tcW w:w="915" w:type="dxa"/>
                  <w:noWrap w:val="0"/>
                  <w:vAlign w:val="center"/>
                </w:tcPr>
                <w:p w14:paraId="40F89999">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混凝土</w:t>
                  </w:r>
                </w:p>
              </w:tc>
              <w:tc>
                <w:tcPr>
                  <w:tcW w:w="1075" w:type="dxa"/>
                  <w:noWrap w:val="0"/>
                  <w:vAlign w:val="center"/>
                </w:tcPr>
                <w:p w14:paraId="6D9BC94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m</w:t>
                  </w:r>
                  <w:r>
                    <w:rPr>
                      <w:rFonts w:hint="default" w:ascii="Times New Roman" w:hAnsi="Times New Roman" w:eastAsia="宋体" w:cs="Times New Roman"/>
                      <w:color w:val="000000" w:themeColor="text1"/>
                      <w:kern w:val="0"/>
                      <w:sz w:val="21"/>
                      <w:szCs w:val="2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年</w:t>
                  </w:r>
                </w:p>
              </w:tc>
              <w:tc>
                <w:tcPr>
                  <w:tcW w:w="849" w:type="dxa"/>
                  <w:noWrap w:val="0"/>
                  <w:vAlign w:val="center"/>
                </w:tcPr>
                <w:p w14:paraId="5FA15AA9">
                  <w:pPr>
                    <w:pStyle w:val="2"/>
                    <w:keepNext w:val="0"/>
                    <w:keepLines w:val="0"/>
                    <w:pageBreakBefore w:val="0"/>
                    <w:kinsoku/>
                    <w:wordWrap/>
                    <w:overflowPunct/>
                    <w:topLinePunct w:val="0"/>
                    <w:bidi w:val="0"/>
                    <w:adjustRightInd w:val="0"/>
                    <w:snapToGrid w:val="0"/>
                    <w:spacing w:after="0" w:line="240" w:lineRule="auto"/>
                    <w:ind w:left="0" w:lef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10000</w:t>
                  </w:r>
                </w:p>
              </w:tc>
              <w:tc>
                <w:tcPr>
                  <w:tcW w:w="1084" w:type="dxa"/>
                  <w:noWrap w:val="0"/>
                  <w:vAlign w:val="center"/>
                </w:tcPr>
                <w:p w14:paraId="0184F26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半固态</w:t>
                  </w:r>
                </w:p>
              </w:tc>
              <w:tc>
                <w:tcPr>
                  <w:tcW w:w="1138" w:type="dxa"/>
                  <w:noWrap w:val="0"/>
                  <w:vAlign w:val="center"/>
                </w:tcPr>
                <w:p w14:paraId="4F088F4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854" w:type="dxa"/>
                  <w:noWrap w:val="0"/>
                  <w:vAlign w:val="center"/>
                </w:tcPr>
                <w:p w14:paraId="75DD3229">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自产</w:t>
                  </w:r>
                </w:p>
              </w:tc>
              <w:tc>
                <w:tcPr>
                  <w:tcW w:w="981" w:type="dxa"/>
                  <w:noWrap w:val="0"/>
                  <w:vAlign w:val="center"/>
                </w:tcPr>
                <w:p w14:paraId="0107114A">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罐车</w:t>
                  </w:r>
                </w:p>
              </w:tc>
            </w:tr>
            <w:tr w14:paraId="774324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3EE986C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D80E091">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4C3BE8BA">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钢筋</w:t>
                  </w:r>
                </w:p>
              </w:tc>
              <w:tc>
                <w:tcPr>
                  <w:tcW w:w="1075" w:type="dxa"/>
                  <w:noWrap w:val="0"/>
                  <w:vAlign w:val="center"/>
                </w:tcPr>
                <w:p w14:paraId="066C154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849" w:type="dxa"/>
                  <w:noWrap w:val="0"/>
                  <w:vAlign w:val="center"/>
                </w:tcPr>
                <w:p w14:paraId="0FB6990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100</w:t>
                  </w:r>
                </w:p>
              </w:tc>
              <w:tc>
                <w:tcPr>
                  <w:tcW w:w="1084" w:type="dxa"/>
                  <w:noWrap w:val="0"/>
                  <w:vAlign w:val="center"/>
                </w:tcPr>
                <w:p w14:paraId="1739B43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固态</w:t>
                  </w:r>
                </w:p>
              </w:tc>
              <w:tc>
                <w:tcPr>
                  <w:tcW w:w="1138" w:type="dxa"/>
                  <w:noWrap w:val="0"/>
                  <w:vAlign w:val="center"/>
                </w:tcPr>
                <w:p w14:paraId="31BD75E7">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854" w:type="dxa"/>
                  <w:noWrap w:val="0"/>
                  <w:vAlign w:val="center"/>
                </w:tcPr>
                <w:p w14:paraId="2874D66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钢筋加工场</w:t>
                  </w:r>
                </w:p>
              </w:tc>
              <w:tc>
                <w:tcPr>
                  <w:tcW w:w="981" w:type="dxa"/>
                  <w:noWrap w:val="0"/>
                  <w:vAlign w:val="center"/>
                </w:tcPr>
                <w:p w14:paraId="5EB03583">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w:t>
                  </w:r>
                </w:p>
              </w:tc>
            </w:tr>
            <w:tr w14:paraId="5FF9BF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BD3F3B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7D95AB09">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0540335E">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脱模剂</w:t>
                  </w:r>
                </w:p>
              </w:tc>
              <w:tc>
                <w:tcPr>
                  <w:tcW w:w="1075" w:type="dxa"/>
                  <w:noWrap w:val="0"/>
                  <w:vAlign w:val="center"/>
                </w:tcPr>
                <w:p w14:paraId="6E91DF0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849" w:type="dxa"/>
                  <w:noWrap w:val="0"/>
                  <w:vAlign w:val="center"/>
                </w:tcPr>
                <w:p w14:paraId="36CFD5B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5.4</w:t>
                  </w:r>
                </w:p>
              </w:tc>
              <w:tc>
                <w:tcPr>
                  <w:tcW w:w="1084" w:type="dxa"/>
                  <w:noWrap w:val="0"/>
                  <w:vAlign w:val="center"/>
                </w:tcPr>
                <w:p w14:paraId="3F174999">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乳化油类，</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0.2t/桶</w:t>
                  </w:r>
                </w:p>
              </w:tc>
              <w:tc>
                <w:tcPr>
                  <w:tcW w:w="1138" w:type="dxa"/>
                  <w:noWrap w:val="0"/>
                  <w:vAlign w:val="center"/>
                </w:tcPr>
                <w:p w14:paraId="4A273C20">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制梁场</w:t>
                  </w:r>
                </w:p>
              </w:tc>
              <w:tc>
                <w:tcPr>
                  <w:tcW w:w="854" w:type="dxa"/>
                  <w:noWrap w:val="0"/>
                  <w:vAlign w:val="center"/>
                </w:tcPr>
                <w:p w14:paraId="667E64B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56DB711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801D8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0497A2FF">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5CF08B0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19570600">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钢绞线</w:t>
                  </w:r>
                </w:p>
              </w:tc>
              <w:tc>
                <w:tcPr>
                  <w:tcW w:w="1075" w:type="dxa"/>
                  <w:noWrap w:val="0"/>
                  <w:vAlign w:val="center"/>
                </w:tcPr>
                <w:p w14:paraId="14F6F9C6">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849" w:type="dxa"/>
                  <w:noWrap w:val="0"/>
                  <w:vAlign w:val="center"/>
                </w:tcPr>
                <w:p w14:paraId="3366C082">
                  <w:pPr>
                    <w:keepNext w:val="0"/>
                    <w:keepLines w:val="0"/>
                    <w:pageBreakBefore w:val="0"/>
                    <w:widowControl/>
                    <w:suppressLineNumbers w:val="0"/>
                    <w:kinsoku/>
                    <w:wordWrap/>
                    <w:overflowPunct/>
                    <w:topLinePunct w:val="0"/>
                    <w:bidi w:val="0"/>
                    <w:adjustRightInd w:val="0"/>
                    <w:snapToGrid w:val="0"/>
                    <w:spacing w:line="240" w:lineRule="auto"/>
                    <w:ind w:left="0" w:leftChars="0"/>
                    <w:jc w:val="center"/>
                    <w:textAlignment w:val="center"/>
                    <w:rPr>
                      <w:rFonts w:hint="eastAsia" w:ascii="Times New Roman" w:hAnsi="Times New Roman" w:eastAsia="宋体" w:cs="Times New Roman"/>
                      <w:i w:val="0"/>
                      <w:iCs w:val="0"/>
                      <w:color w:val="000000" w:themeColor="text1"/>
                      <w:kern w:val="2"/>
                      <w:sz w:val="21"/>
                      <w:szCs w:val="21"/>
                      <w:highlight w:val="none"/>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306</w:t>
                  </w: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t</w:t>
                  </w:r>
                </w:p>
              </w:tc>
              <w:tc>
                <w:tcPr>
                  <w:tcW w:w="1084" w:type="dxa"/>
                  <w:noWrap w:val="0"/>
                  <w:vAlign w:val="center"/>
                </w:tcPr>
                <w:p w14:paraId="3CC3133C">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固态</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直径15.2mm</w:t>
                  </w:r>
                </w:p>
              </w:tc>
              <w:tc>
                <w:tcPr>
                  <w:tcW w:w="1138" w:type="dxa"/>
                  <w:noWrap w:val="0"/>
                  <w:vAlign w:val="center"/>
                </w:tcPr>
                <w:p w14:paraId="2CB4797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制梁场</w:t>
                  </w:r>
                </w:p>
              </w:tc>
              <w:tc>
                <w:tcPr>
                  <w:tcW w:w="854" w:type="dxa"/>
                  <w:noWrap w:val="0"/>
                  <w:vAlign w:val="center"/>
                </w:tcPr>
                <w:p w14:paraId="697C57E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62D5AFC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2E6F71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12" w:type="dxa"/>
                  <w:vMerge w:val="continue"/>
                  <w:noWrap w:val="0"/>
                  <w:vAlign w:val="center"/>
                </w:tcPr>
                <w:p w14:paraId="612BE73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398" w:type="dxa"/>
                  <w:vMerge w:val="continue"/>
                  <w:noWrap w:val="0"/>
                  <w:vAlign w:val="center"/>
                </w:tcPr>
                <w:p w14:paraId="2701CB6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1C05F37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波纹管</w:t>
                  </w:r>
                </w:p>
              </w:tc>
              <w:tc>
                <w:tcPr>
                  <w:tcW w:w="1075" w:type="dxa"/>
                  <w:noWrap w:val="0"/>
                  <w:vAlign w:val="center"/>
                </w:tcPr>
                <w:p w14:paraId="165D5A54">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w:t>
                  </w:r>
                </w:p>
              </w:tc>
              <w:tc>
                <w:tcPr>
                  <w:tcW w:w="849" w:type="dxa"/>
                  <w:noWrap w:val="0"/>
                  <w:vAlign w:val="center"/>
                </w:tcPr>
                <w:p w14:paraId="7C2D4C63">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33909.3</w:t>
                  </w:r>
                </w:p>
              </w:tc>
              <w:tc>
                <w:tcPr>
                  <w:tcW w:w="1084" w:type="dxa"/>
                  <w:noWrap w:val="0"/>
                  <w:vAlign w:val="center"/>
                </w:tcPr>
                <w:p w14:paraId="3A82CE8A">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70</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5</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DN</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80</w:t>
                  </w:r>
                </w:p>
              </w:tc>
              <w:tc>
                <w:tcPr>
                  <w:tcW w:w="1138" w:type="dxa"/>
                  <w:noWrap w:val="0"/>
                  <w:vAlign w:val="center"/>
                </w:tcPr>
                <w:p w14:paraId="1EF21157">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制梁场</w:t>
                  </w:r>
                </w:p>
              </w:tc>
              <w:tc>
                <w:tcPr>
                  <w:tcW w:w="854" w:type="dxa"/>
                  <w:noWrap w:val="0"/>
                  <w:vAlign w:val="center"/>
                </w:tcPr>
                <w:p w14:paraId="5075D0D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03A65A5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72889A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restart"/>
                  <w:noWrap w:val="0"/>
                  <w:vAlign w:val="center"/>
                </w:tcPr>
                <w:p w14:paraId="7C7EFBA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辅料</w:t>
                  </w:r>
                </w:p>
              </w:tc>
              <w:tc>
                <w:tcPr>
                  <w:tcW w:w="915" w:type="dxa"/>
                  <w:noWrap w:val="0"/>
                  <w:vAlign w:val="center"/>
                </w:tcPr>
                <w:p w14:paraId="1FBC011C">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絮凝剂</w:t>
                  </w:r>
                </w:p>
              </w:tc>
              <w:tc>
                <w:tcPr>
                  <w:tcW w:w="1075" w:type="dxa"/>
                  <w:noWrap w:val="0"/>
                  <w:vAlign w:val="center"/>
                </w:tcPr>
                <w:p w14:paraId="5CC90F5E">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吨/年</w:t>
                  </w:r>
                </w:p>
              </w:tc>
              <w:tc>
                <w:tcPr>
                  <w:tcW w:w="849" w:type="dxa"/>
                  <w:noWrap w:val="0"/>
                  <w:vAlign w:val="center"/>
                </w:tcPr>
                <w:p w14:paraId="6C4F79F1">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w:t>
                  </w:r>
                </w:p>
              </w:tc>
              <w:tc>
                <w:tcPr>
                  <w:tcW w:w="1084" w:type="dxa"/>
                  <w:noWrap w:val="0"/>
                  <w:vAlign w:val="center"/>
                </w:tcPr>
                <w:p w14:paraId="7F6C3F6D">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PAC、PAM</w:t>
                  </w:r>
                </w:p>
              </w:tc>
              <w:tc>
                <w:tcPr>
                  <w:tcW w:w="1138" w:type="dxa"/>
                  <w:noWrap w:val="0"/>
                  <w:vAlign w:val="center"/>
                </w:tcPr>
                <w:p w14:paraId="45A2CB55">
                  <w:pPr>
                    <w:keepNext w:val="0"/>
                    <w:keepLines w:val="0"/>
                    <w:pageBreakBefore w:val="0"/>
                    <w:widowControl w:val="0"/>
                    <w:kinsoku/>
                    <w:wordWrap/>
                    <w:overflowPunct/>
                    <w:topLinePunct w:val="0"/>
                    <w:autoSpaceDE w:val="0"/>
                    <w:autoSpaceDN w:val="0"/>
                    <w:bidi w:val="0"/>
                    <w:adjustRightInd w:val="0"/>
                    <w:snapToGrid w:val="0"/>
                    <w:spacing w:line="240" w:lineRule="auto"/>
                    <w:ind w:left="0" w:left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库房</w:t>
                  </w:r>
                </w:p>
              </w:tc>
              <w:tc>
                <w:tcPr>
                  <w:tcW w:w="854" w:type="dxa"/>
                  <w:noWrap w:val="0"/>
                  <w:vAlign w:val="center"/>
                </w:tcPr>
                <w:p w14:paraId="43D718F6">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077267D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415554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continue"/>
                  <w:noWrap w:val="0"/>
                  <w:vAlign w:val="center"/>
                </w:tcPr>
                <w:p w14:paraId="1E76C81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57BB9A8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润滑</w:t>
                  </w:r>
                  <w:r>
                    <w:rPr>
                      <w:rFonts w:hint="default" w:ascii="Times New Roman" w:hAnsi="Times New Roman" w:eastAsia="宋体" w:cs="Times New Roman"/>
                      <w:color w:val="000000" w:themeColor="text1"/>
                      <w:sz w:val="21"/>
                      <w:szCs w:val="21"/>
                      <w:highlight w:val="none"/>
                      <w14:textFill>
                        <w14:solidFill>
                          <w14:schemeClr w14:val="tx1"/>
                        </w14:solidFill>
                      </w14:textFill>
                    </w:rPr>
                    <w:t>油</w:t>
                  </w:r>
                </w:p>
              </w:tc>
              <w:tc>
                <w:tcPr>
                  <w:tcW w:w="1075" w:type="dxa"/>
                  <w:noWrap w:val="0"/>
                  <w:vAlign w:val="center"/>
                </w:tcPr>
                <w:p w14:paraId="7129D60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005A1ED4">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1084" w:type="dxa"/>
                  <w:noWrap w:val="0"/>
                  <w:vAlign w:val="center"/>
                </w:tcPr>
                <w:p w14:paraId="76C91021">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769277AC">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桶装</w:t>
                  </w:r>
                </w:p>
              </w:tc>
              <w:tc>
                <w:tcPr>
                  <w:tcW w:w="854" w:type="dxa"/>
                  <w:noWrap w:val="0"/>
                  <w:vAlign w:val="center"/>
                </w:tcPr>
                <w:p w14:paraId="2980141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56301EB6">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33356A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continue"/>
                  <w:noWrap w:val="0"/>
                  <w:vAlign w:val="center"/>
                </w:tcPr>
                <w:p w14:paraId="28010598">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1219F9C2">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柴油</w:t>
                  </w:r>
                </w:p>
              </w:tc>
              <w:tc>
                <w:tcPr>
                  <w:tcW w:w="1075" w:type="dxa"/>
                  <w:noWrap w:val="0"/>
                  <w:vAlign w:val="center"/>
                </w:tcPr>
                <w:p w14:paraId="07156C1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吨/年</w:t>
                  </w:r>
                </w:p>
              </w:tc>
              <w:tc>
                <w:tcPr>
                  <w:tcW w:w="849" w:type="dxa"/>
                  <w:noWrap w:val="0"/>
                  <w:vAlign w:val="center"/>
                </w:tcPr>
                <w:p w14:paraId="02792475">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若干</w:t>
                  </w:r>
                </w:p>
              </w:tc>
              <w:tc>
                <w:tcPr>
                  <w:tcW w:w="1084" w:type="dxa"/>
                  <w:noWrap w:val="0"/>
                  <w:vAlign w:val="center"/>
                </w:tcPr>
                <w:p w14:paraId="056A84B8">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液态</w:t>
                  </w:r>
                </w:p>
              </w:tc>
              <w:tc>
                <w:tcPr>
                  <w:tcW w:w="1138" w:type="dxa"/>
                  <w:noWrap w:val="0"/>
                  <w:vAlign w:val="center"/>
                </w:tcPr>
                <w:p w14:paraId="661BB43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不在厂区</w:t>
                  </w:r>
                </w:p>
                <w:p w14:paraId="040FADDF">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储存</w:t>
                  </w:r>
                </w:p>
              </w:tc>
              <w:tc>
                <w:tcPr>
                  <w:tcW w:w="854" w:type="dxa"/>
                  <w:noWrap w:val="0"/>
                  <w:vAlign w:val="center"/>
                </w:tcPr>
                <w:p w14:paraId="7C37726D">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外购</w:t>
                  </w:r>
                </w:p>
              </w:tc>
              <w:tc>
                <w:tcPr>
                  <w:tcW w:w="981" w:type="dxa"/>
                  <w:noWrap w:val="0"/>
                  <w:vAlign w:val="center"/>
                </w:tcPr>
                <w:p w14:paraId="2CF779BB">
                  <w:pPr>
                    <w:keepNext w:val="0"/>
                    <w:keepLines w:val="0"/>
                    <w:pageBreakBefore w:val="0"/>
                    <w:kinsoku/>
                    <w:wordWrap/>
                    <w:overflowPunct/>
                    <w:topLinePunct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汽车运输</w:t>
                  </w:r>
                </w:p>
              </w:tc>
            </w:tr>
            <w:tr w14:paraId="00490B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restart"/>
                  <w:noWrap w:val="0"/>
                  <w:vAlign w:val="center"/>
                </w:tcPr>
                <w:p w14:paraId="49BA4AE4">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能源</w:t>
                  </w:r>
                </w:p>
              </w:tc>
              <w:tc>
                <w:tcPr>
                  <w:tcW w:w="915" w:type="dxa"/>
                  <w:noWrap w:val="0"/>
                  <w:vAlign w:val="center"/>
                </w:tcPr>
                <w:p w14:paraId="547CF18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电力</w:t>
                  </w:r>
                </w:p>
              </w:tc>
              <w:tc>
                <w:tcPr>
                  <w:tcW w:w="1075" w:type="dxa"/>
                  <w:noWrap w:val="0"/>
                  <w:vAlign w:val="center"/>
                </w:tcPr>
                <w:p w14:paraId="1FB7B58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万</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度/a</w:t>
                  </w:r>
                </w:p>
              </w:tc>
              <w:tc>
                <w:tcPr>
                  <w:tcW w:w="849" w:type="dxa"/>
                  <w:noWrap w:val="0"/>
                  <w:vAlign w:val="center"/>
                </w:tcPr>
                <w:p w14:paraId="148CFF8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65</w:t>
                  </w:r>
                </w:p>
              </w:tc>
              <w:tc>
                <w:tcPr>
                  <w:tcW w:w="1084" w:type="dxa"/>
                  <w:noWrap w:val="0"/>
                  <w:vAlign w:val="center"/>
                </w:tcPr>
                <w:p w14:paraId="15BEF84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w:t>
                  </w:r>
                </w:p>
              </w:tc>
              <w:tc>
                <w:tcPr>
                  <w:tcW w:w="1138" w:type="dxa"/>
                  <w:noWrap w:val="0"/>
                  <w:vAlign w:val="center"/>
                </w:tcPr>
                <w:p w14:paraId="62C550E2">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854" w:type="dxa"/>
                  <w:noWrap w:val="0"/>
                  <w:vAlign w:val="center"/>
                </w:tcPr>
                <w:p w14:paraId="0130F15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市政</w:t>
                  </w:r>
                </w:p>
                <w:p w14:paraId="613D7C5D">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电网</w:t>
                  </w:r>
                </w:p>
              </w:tc>
              <w:tc>
                <w:tcPr>
                  <w:tcW w:w="981" w:type="dxa"/>
                  <w:noWrap w:val="0"/>
                  <w:vAlign w:val="center"/>
                </w:tcPr>
                <w:p w14:paraId="6243474C">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电网连接</w:t>
                  </w:r>
                </w:p>
              </w:tc>
            </w:tr>
            <w:tr w14:paraId="5B5633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110" w:type="dxa"/>
                  <w:gridSpan w:val="2"/>
                  <w:vMerge w:val="continue"/>
                  <w:noWrap w:val="0"/>
                  <w:vAlign w:val="center"/>
                </w:tcPr>
                <w:p w14:paraId="19CB0530">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p>
              </w:tc>
              <w:tc>
                <w:tcPr>
                  <w:tcW w:w="915" w:type="dxa"/>
                  <w:noWrap w:val="0"/>
                  <w:vAlign w:val="center"/>
                </w:tcPr>
                <w:p w14:paraId="2629E983">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水</w:t>
                  </w:r>
                </w:p>
              </w:tc>
              <w:tc>
                <w:tcPr>
                  <w:tcW w:w="1075" w:type="dxa"/>
                  <w:noWrap w:val="0"/>
                  <w:vAlign w:val="center"/>
                </w:tcPr>
                <w:p w14:paraId="0DC06EB7">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m</w:t>
                  </w:r>
                  <w:r>
                    <w:rPr>
                      <w:rFonts w:hint="default" w:ascii="Times New Roman" w:hAnsi="Times New Roman" w:eastAsia="宋体" w:cs="Times New Roman"/>
                      <w:color w:val="000000" w:themeColor="text1"/>
                      <w:kern w:val="0"/>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/a</w:t>
                  </w:r>
                </w:p>
              </w:tc>
              <w:tc>
                <w:tcPr>
                  <w:tcW w:w="849" w:type="dxa"/>
                  <w:noWrap w:val="0"/>
                  <w:vAlign w:val="center"/>
                </w:tcPr>
                <w:p w14:paraId="218ACFB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110750</w:t>
                  </w:r>
                </w:p>
              </w:tc>
              <w:tc>
                <w:tcPr>
                  <w:tcW w:w="1084" w:type="dxa"/>
                  <w:noWrap w:val="0"/>
                  <w:vAlign w:val="center"/>
                </w:tcPr>
                <w:p w14:paraId="30A7798A">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1138" w:type="dxa"/>
                  <w:noWrap w:val="0"/>
                  <w:vAlign w:val="center"/>
                </w:tcPr>
                <w:p w14:paraId="1DBC21F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w:t>
                  </w:r>
                </w:p>
              </w:tc>
              <w:tc>
                <w:tcPr>
                  <w:tcW w:w="854" w:type="dxa"/>
                  <w:noWrap w:val="0"/>
                  <w:vAlign w:val="center"/>
                </w:tcPr>
                <w:p w14:paraId="56AB80AE">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pPr>
                  <w: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t>市政</w:t>
                  </w:r>
                </w:p>
                <w:p w14:paraId="160A7B5B">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t>管网</w:t>
                  </w:r>
                </w:p>
              </w:tc>
              <w:tc>
                <w:tcPr>
                  <w:tcW w:w="981" w:type="dxa"/>
                  <w:noWrap w:val="0"/>
                  <w:vAlign w:val="center"/>
                </w:tcPr>
                <w:p w14:paraId="2CD9CAA5">
                  <w:pPr>
                    <w:keepNext w:val="0"/>
                    <w:keepLines w:val="0"/>
                    <w:pageBreakBefore w:val="0"/>
                    <w:kinsoku/>
                    <w:wordWrap/>
                    <w:overflowPunct/>
                    <w:topLinePunct w:val="0"/>
                    <w:autoSpaceDE w:val="0"/>
                    <w:autoSpaceDN w:val="0"/>
                    <w:bidi w:val="0"/>
                    <w:adjustRightInd w:val="0"/>
                    <w:snapToGrid w:val="0"/>
                    <w:spacing w:line="240" w:lineRule="auto"/>
                    <w:ind w:left="0" w:leftChars="0"/>
                    <w:jc w:val="center"/>
                    <w:rPr>
                      <w:rStyle w:val="27"/>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管道连接</w:t>
                  </w:r>
                </w:p>
              </w:tc>
            </w:tr>
          </w:tbl>
          <w:p w14:paraId="41A70BD2">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firstLineChars="200"/>
              <w:textAlignment w:val="auto"/>
              <w:rPr>
                <w:rFonts w:ascii="宋体" w:hAnsi="宋体" w:eastAsia="宋体"/>
                <w:b/>
                <w:bCs/>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2、主要原</w:t>
            </w:r>
            <w:r>
              <w:rPr>
                <w:rFonts w:hint="eastAsia" w:ascii="宋体" w:hAnsi="宋体" w:eastAsia="宋体"/>
                <w:b/>
                <w:bCs/>
                <w:color w:val="000000" w:themeColor="text1"/>
                <w:sz w:val="24"/>
                <w:highlight w:val="none"/>
                <w14:textFill>
                  <w14:solidFill>
                    <w14:schemeClr w14:val="tx1"/>
                  </w14:solidFill>
                </w14:textFill>
              </w:rPr>
              <w:t>辅材料性质</w:t>
            </w:r>
          </w:p>
          <w:p w14:paraId="214E2F1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14:textFill>
                  <w14:solidFill>
                    <w14:schemeClr w14:val="tx1"/>
                  </w14:solidFill>
                </w14:textFill>
              </w:rPr>
              <w:t>水泥：</w:t>
            </w:r>
            <w:r>
              <w:rPr>
                <w:rFonts w:hint="eastAsia" w:ascii="宋体" w:hAnsi="宋体" w:eastAsia="宋体"/>
                <w:color w:val="000000" w:themeColor="text1"/>
                <w:sz w:val="24"/>
                <w:highlight w:val="none"/>
                <w14:textFill>
                  <w14:solidFill>
                    <w14:schemeClr w14:val="tx1"/>
                  </w14:solidFill>
                </w14:textFill>
              </w:rPr>
              <w:t>水泥的种类繁多，按其矿物组成分为硅酸盐水泥、铝酸盐水泥、硫铝酸盐水泥、氟铝酸盐水泥、铁铝酸盐水泥以及少熟料或无熟料水泥等。而按其用途和性能又分为通用水泥、专用水泥和特种水泥三大类。在每一品种的水泥中，又根据其胶结强度的大小，而分为若干强度等级。不同的水泥品种及强度等级，其性能也有较大差异。</w:t>
            </w:r>
          </w:p>
          <w:p w14:paraId="640CF3E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粉煤灰：</w:t>
            </w:r>
            <w:r>
              <w:rPr>
                <w:rFonts w:ascii="Times New Roman" w:hAnsi="Times New Roman" w:eastAsia="宋体"/>
                <w:color w:val="000000" w:themeColor="text1"/>
                <w:sz w:val="24"/>
                <w:highlight w:val="none"/>
                <w14:textFill>
                  <w14:solidFill>
                    <w14:schemeClr w14:val="tx1"/>
                  </w14:solidFill>
                </w14:textFill>
              </w:rPr>
              <w:t>是从煤燃烧后的烟气中收捕下来的细灰，粉煤灰是燃煤电厂排出的主要固体废物。我国火电厂粉煤灰的主要氧化物组成为：SiO</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、Al</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O</w:t>
            </w:r>
            <w:r>
              <w:rPr>
                <w:rFonts w:ascii="Times New Roman" w:hAnsi="Times New Roman" w:eastAsia="宋体"/>
                <w:color w:val="000000" w:themeColor="text1"/>
                <w:sz w:val="24"/>
                <w:highlight w:val="none"/>
                <w:vertAlign w:val="subscript"/>
                <w14:textFill>
                  <w14:solidFill>
                    <w14:schemeClr w14:val="tx1"/>
                  </w14:solidFill>
                </w14:textFill>
              </w:rPr>
              <w:t>3</w:t>
            </w:r>
            <w:r>
              <w:rPr>
                <w:rFonts w:ascii="Times New Roman" w:hAnsi="Times New Roman" w:eastAsia="宋体"/>
                <w:color w:val="000000" w:themeColor="text1"/>
                <w:sz w:val="24"/>
                <w:highlight w:val="none"/>
                <w14:textFill>
                  <w14:solidFill>
                    <w14:schemeClr w14:val="tx1"/>
                  </w14:solidFill>
                </w14:textFill>
              </w:rPr>
              <w:t>、FeO、Fe</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O</w:t>
            </w:r>
            <w:r>
              <w:rPr>
                <w:rFonts w:ascii="Times New Roman" w:hAnsi="Times New Roman" w:eastAsia="宋体"/>
                <w:color w:val="000000" w:themeColor="text1"/>
                <w:sz w:val="24"/>
                <w:highlight w:val="none"/>
                <w:vertAlign w:val="subscript"/>
                <w14:textFill>
                  <w14:solidFill>
                    <w14:schemeClr w14:val="tx1"/>
                  </w14:solidFill>
                </w14:textFill>
              </w:rPr>
              <w:t>3</w:t>
            </w:r>
            <w:r>
              <w:rPr>
                <w:rFonts w:ascii="Times New Roman" w:hAnsi="Times New Roman" w:eastAsia="宋体"/>
                <w:color w:val="000000" w:themeColor="text1"/>
                <w:sz w:val="24"/>
                <w:highlight w:val="none"/>
                <w14:textFill>
                  <w14:solidFill>
                    <w14:schemeClr w14:val="tx1"/>
                  </w14:solidFill>
                </w14:textFill>
              </w:rPr>
              <w:t>、CaO、TiO</w:t>
            </w:r>
            <w:r>
              <w:rPr>
                <w:rFonts w:ascii="Times New Roman" w:hAnsi="Times New Roman" w:eastAsia="宋体"/>
                <w:color w:val="000000" w:themeColor="text1"/>
                <w:sz w:val="24"/>
                <w:highlight w:val="none"/>
                <w:vertAlign w:val="subscript"/>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等。粉煤灰是我国当前排量较大的工业废渣之一，随着电力工业的发展，燃煤电厂的粉煤灰排放量逐年增加。粉煤灰可作为混凝土的掺合料。</w:t>
            </w:r>
          </w:p>
          <w:p w14:paraId="573CA9B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14:textFill>
                  <w14:solidFill>
                    <w14:schemeClr w14:val="tx1"/>
                  </w14:solidFill>
                </w14:textFill>
              </w:rPr>
              <w:t>外加剂（减水剂）：</w:t>
            </w:r>
            <w:r>
              <w:rPr>
                <w:rFonts w:hint="eastAsia" w:ascii="宋体" w:hAnsi="宋体" w:eastAsia="宋体"/>
                <w:color w:val="000000" w:themeColor="text1"/>
                <w:sz w:val="24"/>
                <w:highlight w:val="none"/>
                <w14:textFill>
                  <w14:solidFill>
                    <w14:schemeClr w14:val="tx1"/>
                  </w14:solidFill>
                </w14:textFill>
              </w:rPr>
              <w:t>拟建项目用到的外加剂主要为高效减水剂，其化学成分为萘磺酸盐甲醛缩合物、多环芳烃磺酸盐甲醛缩合物、三聚氰胺磺酸盐甲醛缩聚物、对胺基苯磺酸甲醛缩聚物、磺化酮醛缩聚物、聚丙烯酸盐及其接枝共聚物等。</w:t>
            </w:r>
          </w:p>
          <w:p w14:paraId="72AB1F1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b/>
                <w:bCs/>
                <w:color w:val="000000" w:themeColor="text1"/>
                <w:sz w:val="24"/>
                <w:highlight w:val="none"/>
                <w:lang w:eastAsia="zh-CN"/>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脱模剂：</w:t>
            </w:r>
            <w:r>
              <w:rPr>
                <w:rFonts w:hint="eastAsia" w:ascii="宋体" w:hAnsi="宋体" w:eastAsia="宋体"/>
                <w:b w:val="0"/>
                <w:bCs w:val="0"/>
                <w:color w:val="000000" w:themeColor="text1"/>
                <w:sz w:val="24"/>
                <w:highlight w:val="none"/>
                <w:lang w:eastAsia="zh-CN"/>
                <w14:textFill>
                  <w14:solidFill>
                    <w14:schemeClr w14:val="tx1"/>
                  </w14:solidFill>
                </w14:textFill>
              </w:rPr>
              <w:t>混凝土浇注前涂抹在施工用模板上的一种物质，以使浇注后模板不致粘在混凝土表面上、不易拆模，或影响混凝土表面的光洁度。其主要作用为在模板与混凝土表面形成一层膜将两者隔离开故又称隔离剂。本项目使用为乳化油类隔离剂，使用石油润滑油，乳化剂、稳定剂配置而成。</w:t>
            </w:r>
          </w:p>
          <w:p w14:paraId="23AB2B2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14:textFill>
                  <w14:solidFill>
                    <w14:schemeClr w14:val="tx1"/>
                  </w14:solidFill>
                </w14:textFill>
              </w:rPr>
              <w:t>矿物油：</w:t>
            </w:r>
            <w:r>
              <w:rPr>
                <w:rFonts w:hint="eastAsia" w:ascii="宋体" w:hAnsi="宋体" w:eastAsia="宋体"/>
                <w:color w:val="000000" w:themeColor="text1"/>
                <w:sz w:val="24"/>
                <w:highlight w:val="none"/>
                <w14:textFill>
                  <w14:solidFill>
                    <w14:schemeClr w14:val="tx1"/>
                  </w14:solidFill>
                </w14:textFill>
              </w:rPr>
              <w:t>矿物油是由是由所得精炼液态烃的混合物，为无色半透明油状液体，不溶于水、乙醇，用于预制件脱模润滑使用。矿物油中包含许多对人体有害的物质，人体肠胃很难吸收矿物油，一旦长期摄入矿物油含量超标或含有矿物油的食品就会引起人体消化系统的极大障碍。更严重的是人体误食工业用矿物油后会产生急性中毒和慢性中毒，破坏人体的各个细胞，进而造成神经系统的损坏，也可能导致呼吸功能衰竭。</w:t>
            </w:r>
          </w:p>
          <w:p w14:paraId="308A747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olor w:val="000000" w:themeColor="text1"/>
                <w:sz w:val="24"/>
                <w:highlight w:val="none"/>
                <w:lang w:eastAsia="zh-CN"/>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焊条：</w:t>
            </w:r>
            <w:r>
              <w:rPr>
                <w:rFonts w:hint="eastAsia" w:ascii="宋体" w:hAnsi="宋体" w:eastAsia="宋体"/>
                <w:color w:val="000000" w:themeColor="text1"/>
                <w:sz w:val="24"/>
                <w:highlight w:val="none"/>
                <w:lang w:eastAsia="zh-CN"/>
                <w14:textFill>
                  <w14:solidFill>
                    <w14:schemeClr w14:val="tx1"/>
                  </w14:solidFill>
                </w14:textFill>
              </w:rPr>
              <w:t>本项目焊接原料为焊条，其主要成分为C、Mn，生产过程中所使用的焊条为无铅焊条，焊材检测报告见</w:t>
            </w:r>
            <w:r>
              <w:rPr>
                <w:rFonts w:hint="default" w:ascii="Times New Roman" w:hAnsi="Times New Roman" w:eastAsia="宋体" w:cs="Times New Roman"/>
                <w:color w:val="000000" w:themeColor="text1"/>
                <w:sz w:val="24"/>
                <w:highlight w:val="none"/>
                <w:lang w:eastAsia="zh-CN"/>
                <w14:textFill>
                  <w14:solidFill>
                    <w14:schemeClr w14:val="tx1"/>
                  </w14:solidFill>
                </w14:textFill>
              </w:rPr>
              <w:t>附件</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9</w:t>
            </w:r>
            <w:r>
              <w:rPr>
                <w:rFonts w:hint="eastAsia" w:ascii="宋体" w:hAnsi="宋体" w:eastAsia="宋体"/>
                <w:color w:val="000000" w:themeColor="text1"/>
                <w:sz w:val="24"/>
                <w:highlight w:val="none"/>
                <w:lang w:eastAsia="zh-CN"/>
                <w14:textFill>
                  <w14:solidFill>
                    <w14:schemeClr w14:val="tx1"/>
                  </w14:solidFill>
                </w14:textFill>
              </w:rPr>
              <w:t>。</w:t>
            </w:r>
          </w:p>
          <w:p w14:paraId="4B1B5FE8">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宋体" w:hAnsi="宋体" w:eastAsia="宋体"/>
                <w:color w:val="000000" w:themeColor="text1"/>
                <w:sz w:val="24"/>
                <w:highlight w:val="none"/>
                <w14:textFill>
                  <w14:solidFill>
                    <w14:schemeClr w14:val="tx1"/>
                  </w14:solidFill>
                </w14:textFill>
              </w:rPr>
            </w:pPr>
            <w:r>
              <w:rPr>
                <w:rFonts w:hint="eastAsia" w:ascii="宋体" w:hAnsi="宋体" w:eastAsia="宋体"/>
                <w:b/>
                <w:bCs/>
                <w:color w:val="000000" w:themeColor="text1"/>
                <w:sz w:val="24"/>
                <w:highlight w:val="none"/>
                <w:lang w:eastAsia="zh-CN"/>
                <w14:textFill>
                  <w14:solidFill>
                    <w14:schemeClr w14:val="tx1"/>
                  </w14:solidFill>
                </w14:textFill>
              </w:rPr>
              <w:t>七</w:t>
            </w:r>
            <w:r>
              <w:rPr>
                <w:rFonts w:hint="eastAsia" w:ascii="宋体" w:hAnsi="宋体" w:eastAsia="宋体"/>
                <w:b/>
                <w:bCs/>
                <w:color w:val="000000" w:themeColor="text1"/>
                <w:sz w:val="24"/>
                <w:highlight w:val="none"/>
                <w14:textFill>
                  <w14:solidFill>
                    <w14:schemeClr w14:val="tx1"/>
                  </w14:solidFill>
                </w14:textFill>
              </w:rPr>
              <w:t>、公用工程及辅助设施</w:t>
            </w:r>
          </w:p>
          <w:p w14:paraId="35594F3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1、供电</w:t>
            </w:r>
          </w:p>
          <w:p w14:paraId="320631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用电由</w:t>
            </w:r>
            <w:r>
              <w:rPr>
                <w:rFonts w:hint="eastAsia" w:ascii="Times New Roman" w:hAnsi="Times New Roman" w:eastAsia="宋体"/>
                <w:color w:val="000000" w:themeColor="text1"/>
                <w:sz w:val="24"/>
                <w:highlight w:val="none"/>
                <w14:textFill>
                  <w14:solidFill>
                    <w14:schemeClr w14:val="tx1"/>
                  </w14:solidFill>
                </w14:textFill>
              </w:rPr>
              <w:t>市政电网供给</w:t>
            </w:r>
            <w:r>
              <w:rPr>
                <w:rFonts w:ascii="Times New Roman" w:hAnsi="Times New Roman" w:eastAsia="宋体"/>
                <w:color w:val="000000" w:themeColor="text1"/>
                <w:sz w:val="24"/>
                <w:highlight w:val="none"/>
                <w14:textFill>
                  <w14:solidFill>
                    <w14:schemeClr w14:val="tx1"/>
                  </w14:solidFill>
                </w14:textFill>
              </w:rPr>
              <w:t>，用电量约</w:t>
            </w:r>
            <w:r>
              <w:rPr>
                <w:rFonts w:hint="eastAsia" w:ascii="Times New Roman" w:hAnsi="Times New Roman" w:eastAsia="宋体"/>
                <w:color w:val="000000" w:themeColor="text1"/>
                <w:sz w:val="24"/>
                <w:highlight w:val="none"/>
                <w:lang w:val="en-US" w:eastAsia="zh-CN"/>
                <w14:textFill>
                  <w14:solidFill>
                    <w14:schemeClr w14:val="tx1"/>
                  </w14:solidFill>
                </w14:textFill>
              </w:rPr>
              <w:t>65</w:t>
            </w:r>
            <w:r>
              <w:rPr>
                <w:rFonts w:ascii="Times New Roman" w:hAnsi="Times New Roman" w:eastAsia="宋体"/>
                <w:color w:val="000000" w:themeColor="text1"/>
                <w:sz w:val="24"/>
                <w:highlight w:val="none"/>
                <w14:textFill>
                  <w14:solidFill>
                    <w14:schemeClr w14:val="tx1"/>
                  </w14:solidFill>
                </w14:textFill>
              </w:rPr>
              <w:t>万kW·h/a。</w:t>
            </w:r>
            <w:r>
              <w:rPr>
                <w:rFonts w:hint="eastAsia" w:ascii="Times New Roman" w:hAnsi="Times New Roman" w:eastAsia="宋体"/>
                <w:color w:val="000000" w:themeColor="text1"/>
                <w:sz w:val="24"/>
                <w:highlight w:val="none"/>
                <w14:textFill>
                  <w14:solidFill>
                    <w14:schemeClr w14:val="tx1"/>
                  </w14:solidFill>
                </w14:textFill>
              </w:rPr>
              <w:t>另本项目设置一座</w:t>
            </w:r>
            <w:r>
              <w:rPr>
                <w:rFonts w:hint="eastAsia" w:ascii="Times New Roman" w:hAnsi="Times New Roman" w:eastAsia="宋体"/>
                <w:color w:val="000000" w:themeColor="text1"/>
                <w:sz w:val="24"/>
                <w:highlight w:val="none"/>
                <w:lang w:val="en-US" w:eastAsia="zh-CN"/>
                <w14:textFill>
                  <w14:solidFill>
                    <w14:schemeClr w14:val="tx1"/>
                  </w14:solidFill>
                </w14:textFill>
              </w:rPr>
              <w:t>40</w:t>
            </w:r>
            <w:r>
              <w:rPr>
                <w:rFonts w:hint="eastAsia" w:ascii="Times New Roman" w:hAnsi="Times New Roman" w:eastAsia="宋体"/>
                <w:color w:val="000000" w:themeColor="text1"/>
                <w:sz w:val="24"/>
                <w:highlight w:val="none"/>
                <w14:textFill>
                  <w14:solidFill>
                    <w14:schemeClr w14:val="tx1"/>
                  </w14:solidFill>
                </w14:textFill>
              </w:rPr>
              <w:t>0KW备用柴油发电机。</w:t>
            </w:r>
          </w:p>
          <w:p w14:paraId="1C42E34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2、供水</w:t>
            </w:r>
          </w:p>
          <w:p w14:paraId="1529A6B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生产用水</w:t>
            </w:r>
            <w:r>
              <w:rPr>
                <w:rFonts w:hint="eastAsia" w:ascii="Times New Roman" w:hAnsi="Times New Roman" w:eastAsia="宋体"/>
                <w:color w:val="000000" w:themeColor="text1"/>
                <w:sz w:val="24"/>
                <w:highlight w:val="none"/>
                <w:lang w:eastAsia="zh-CN"/>
                <w14:textFill>
                  <w14:solidFill>
                    <w14:schemeClr w14:val="tx1"/>
                  </w14:solidFill>
                </w14:textFill>
              </w:rPr>
              <w:t>、</w:t>
            </w:r>
            <w:r>
              <w:rPr>
                <w:rFonts w:hint="eastAsia" w:ascii="Times New Roman" w:hAnsi="Times New Roman" w:eastAsia="宋体"/>
                <w:color w:val="000000" w:themeColor="text1"/>
                <w:sz w:val="24"/>
                <w:highlight w:val="none"/>
                <w14:textFill>
                  <w14:solidFill>
                    <w14:schemeClr w14:val="tx1"/>
                  </w14:solidFill>
                </w14:textFill>
              </w:rPr>
              <w:t>生活用水</w:t>
            </w:r>
            <w:r>
              <w:rPr>
                <w:rFonts w:hint="eastAsia" w:ascii="Times New Roman" w:hAnsi="Times New Roman" w:eastAsia="宋体"/>
                <w:color w:val="000000" w:themeColor="text1"/>
                <w:sz w:val="24"/>
                <w:highlight w:val="none"/>
                <w:lang w:eastAsia="zh-CN"/>
                <w14:textFill>
                  <w14:solidFill>
                    <w14:schemeClr w14:val="tx1"/>
                  </w14:solidFill>
                </w14:textFill>
              </w:rPr>
              <w:t>均</w:t>
            </w:r>
            <w:r>
              <w:rPr>
                <w:rFonts w:hint="eastAsia" w:ascii="Times New Roman" w:hAnsi="Times New Roman" w:eastAsia="宋体"/>
                <w:color w:val="000000" w:themeColor="text1"/>
                <w:sz w:val="24"/>
                <w:highlight w:val="none"/>
                <w14:textFill>
                  <w14:solidFill>
                    <w14:schemeClr w14:val="tx1"/>
                  </w14:solidFill>
                </w14:textFill>
              </w:rPr>
              <w:t>取</w:t>
            </w:r>
            <w:r>
              <w:rPr>
                <w:rFonts w:hint="eastAsia" w:ascii="Times New Roman" w:hAnsi="Times New Roman" w:eastAsia="宋体"/>
                <w:color w:val="000000" w:themeColor="text1"/>
                <w:sz w:val="24"/>
                <w:highlight w:val="none"/>
                <w:lang w:eastAsia="zh-CN"/>
                <w14:textFill>
                  <w14:solidFill>
                    <w14:schemeClr w14:val="tx1"/>
                  </w14:solidFill>
                </w14:textFill>
              </w:rPr>
              <w:t>自</w:t>
            </w:r>
            <w:r>
              <w:rPr>
                <w:rFonts w:hint="eastAsia" w:ascii="Times New Roman" w:hAnsi="Times New Roman" w:eastAsia="宋体"/>
                <w:color w:val="000000" w:themeColor="text1"/>
                <w:sz w:val="24"/>
                <w:highlight w:val="none"/>
                <w14:textFill>
                  <w14:solidFill>
                    <w14:schemeClr w14:val="tx1"/>
                  </w14:solidFill>
                </w14:textFill>
              </w:rPr>
              <w:t>自来水。</w:t>
            </w:r>
          </w:p>
          <w:p w14:paraId="47A3F9D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本项目生产用水主要包括商品混凝土及砼构件生产用水、搅拌机冲洗用水、运输车辆冲洗用水、地坪冲洗用水、降尘用水</w:t>
            </w:r>
            <w:r>
              <w:rPr>
                <w:rFonts w:hint="eastAsia" w:ascii="Times New Roman" w:hAnsi="Times New Roman" w:eastAsia="宋体"/>
                <w:color w:val="000000" w:themeColor="text1"/>
                <w:sz w:val="24"/>
                <w:highlight w:val="none"/>
                <w:lang w:eastAsia="zh-CN"/>
                <w14:textFill>
                  <w14:solidFill>
                    <w14:schemeClr w14:val="tx1"/>
                  </w14:solidFill>
                </w14:textFill>
              </w:rPr>
              <w:t>、养护用水</w:t>
            </w:r>
            <w:r>
              <w:rPr>
                <w:rFonts w:hint="eastAsia" w:ascii="Times New Roman" w:hAnsi="Times New Roman" w:eastAsia="宋体"/>
                <w:color w:val="000000" w:themeColor="text1"/>
                <w:sz w:val="24"/>
                <w:highlight w:val="none"/>
                <w14:textFill>
                  <w14:solidFill>
                    <w14:schemeClr w14:val="tx1"/>
                  </w14:solidFill>
                </w14:textFill>
              </w:rPr>
              <w:t>以及人员生活用水，具体如下：</w:t>
            </w:r>
          </w:p>
          <w:p w14:paraId="4F88741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（1）商品混凝土及</w:t>
            </w:r>
            <w:r>
              <w:rPr>
                <w:rFonts w:hint="eastAsia"/>
                <w:color w:val="000000" w:themeColor="text1"/>
                <w:sz w:val="24"/>
                <w:szCs w:val="24"/>
                <w:highlight w:val="none"/>
                <w:lang w:eastAsia="zh-CN"/>
                <w14:textFill>
                  <w14:solidFill>
                    <w14:schemeClr w14:val="tx1"/>
                  </w14:solidFill>
                </w14:textFill>
              </w:rPr>
              <w:t>水稳基层材料</w:t>
            </w:r>
            <w:r>
              <w:rPr>
                <w:rFonts w:hint="eastAsia"/>
                <w:color w:val="000000" w:themeColor="text1"/>
                <w:sz w:val="24"/>
                <w:szCs w:val="24"/>
                <w:highlight w:val="none"/>
                <w14:textFill>
                  <w14:solidFill>
                    <w14:schemeClr w14:val="tx1"/>
                  </w14:solidFill>
                </w14:textFill>
              </w:rPr>
              <w:t>生产用水</w:t>
            </w:r>
          </w:p>
          <w:p w14:paraId="7C7E02F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根据四川省人民政府关于印发《四川省用水定额》的通知（川府函【2021】8号）中表23 非金属矿物制品业用水定额表，用水定额如下：</w:t>
            </w:r>
          </w:p>
          <w:p w14:paraId="56F8E946">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表2-</w:t>
            </w:r>
            <w:r>
              <w:rPr>
                <w:rFonts w:hint="eastAsia"/>
                <w:b/>
                <w:bCs/>
                <w:color w:val="000000" w:themeColor="text1"/>
                <w:szCs w:val="21"/>
                <w:highlight w:val="none"/>
                <w:lang w:val="en-US" w:eastAsia="zh-CN"/>
                <w14:textFill>
                  <w14:solidFill>
                    <w14:schemeClr w14:val="tx1"/>
                  </w14:solidFill>
                </w14:textFill>
              </w:rPr>
              <w:t>16</w:t>
            </w:r>
            <w:r>
              <w:rPr>
                <w:rFonts w:hint="eastAsia"/>
                <w:b/>
                <w:bCs/>
                <w:color w:val="000000" w:themeColor="text1"/>
                <w:szCs w:val="21"/>
                <w:highlight w:val="none"/>
                <w14:textFill>
                  <w14:solidFill>
                    <w14:schemeClr w14:val="tx1"/>
                  </w14:solidFill>
                </w14:textFill>
              </w:rPr>
              <w:t xml:space="preserve">     本项目商品混凝土及砼构件生产用水</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15"/>
              <w:gridCol w:w="1060"/>
              <w:gridCol w:w="965"/>
              <w:gridCol w:w="1170"/>
              <w:gridCol w:w="1034"/>
              <w:gridCol w:w="788"/>
              <w:gridCol w:w="1053"/>
              <w:gridCol w:w="1053"/>
            </w:tblGrid>
            <w:tr w14:paraId="70EFE5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410E44CB">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行业代码</w:t>
                  </w:r>
                </w:p>
              </w:tc>
              <w:tc>
                <w:tcPr>
                  <w:tcW w:w="659" w:type="pct"/>
                  <w:tcBorders>
                    <w:tl2br w:val="nil"/>
                    <w:tr2bl w:val="nil"/>
                  </w:tcBorders>
                  <w:vAlign w:val="center"/>
                </w:tcPr>
                <w:p w14:paraId="3D464EB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行业名称</w:t>
                  </w:r>
                </w:p>
              </w:tc>
              <w:tc>
                <w:tcPr>
                  <w:tcW w:w="600" w:type="pct"/>
                  <w:tcBorders>
                    <w:tl2br w:val="nil"/>
                    <w:tr2bl w:val="nil"/>
                  </w:tcBorders>
                  <w:vAlign w:val="center"/>
                </w:tcPr>
                <w:p w14:paraId="573FB49F">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定额代码</w:t>
                  </w:r>
                </w:p>
              </w:tc>
              <w:tc>
                <w:tcPr>
                  <w:tcW w:w="727" w:type="pct"/>
                  <w:tcBorders>
                    <w:tl2br w:val="nil"/>
                    <w:tr2bl w:val="nil"/>
                  </w:tcBorders>
                  <w:vAlign w:val="center"/>
                </w:tcPr>
                <w:p w14:paraId="611BC9E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名称</w:t>
                  </w:r>
                </w:p>
              </w:tc>
              <w:tc>
                <w:tcPr>
                  <w:tcW w:w="643" w:type="pct"/>
                  <w:tcBorders>
                    <w:tl2br w:val="nil"/>
                    <w:tr2bl w:val="nil"/>
                  </w:tcBorders>
                  <w:vAlign w:val="center"/>
                </w:tcPr>
                <w:p w14:paraId="29A890D1">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定额单位</w:t>
                  </w:r>
                </w:p>
              </w:tc>
              <w:tc>
                <w:tcPr>
                  <w:tcW w:w="490" w:type="pct"/>
                  <w:tcBorders>
                    <w:tl2br w:val="nil"/>
                    <w:tr2bl w:val="nil"/>
                  </w:tcBorders>
                  <w:vAlign w:val="center"/>
                </w:tcPr>
                <w:p w14:paraId="51175316">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通用值</w:t>
                  </w:r>
                </w:p>
              </w:tc>
              <w:tc>
                <w:tcPr>
                  <w:tcW w:w="655" w:type="pct"/>
                  <w:tcBorders>
                    <w:tl2br w:val="nil"/>
                    <w:tr2bl w:val="nil"/>
                  </w:tcBorders>
                  <w:vAlign w:val="center"/>
                </w:tcPr>
                <w:p w14:paraId="0A2BE65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产品产量</w:t>
                  </w:r>
                </w:p>
              </w:tc>
              <w:tc>
                <w:tcPr>
                  <w:tcW w:w="655" w:type="pct"/>
                  <w:tcBorders>
                    <w:tl2br w:val="nil"/>
                    <w:tr2bl w:val="nil"/>
                  </w:tcBorders>
                  <w:vAlign w:val="center"/>
                </w:tcPr>
                <w:p w14:paraId="602469D5">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用水量</w:t>
                  </w:r>
                </w:p>
              </w:tc>
            </w:tr>
            <w:tr w14:paraId="439067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6018391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w:t>
                  </w:r>
                </w:p>
              </w:tc>
              <w:tc>
                <w:tcPr>
                  <w:tcW w:w="659" w:type="pct"/>
                  <w:tcBorders>
                    <w:tl2br w:val="nil"/>
                    <w:tr2bl w:val="nil"/>
                  </w:tcBorders>
                  <w:vAlign w:val="center"/>
                </w:tcPr>
                <w:p w14:paraId="2EB40BA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石膏、水泥制品及类似制品制造</w:t>
                  </w:r>
                </w:p>
              </w:tc>
              <w:tc>
                <w:tcPr>
                  <w:tcW w:w="600" w:type="pct"/>
                  <w:tcBorders>
                    <w:tl2br w:val="nil"/>
                    <w:tr2bl w:val="nil"/>
                  </w:tcBorders>
                  <w:vAlign w:val="center"/>
                </w:tcPr>
                <w:p w14:paraId="6904EE08">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C3021</w:t>
                  </w:r>
                </w:p>
              </w:tc>
              <w:tc>
                <w:tcPr>
                  <w:tcW w:w="727" w:type="pct"/>
                  <w:tcBorders>
                    <w:tl2br w:val="nil"/>
                    <w:tr2bl w:val="nil"/>
                  </w:tcBorders>
                  <w:vAlign w:val="center"/>
                </w:tcPr>
                <w:p w14:paraId="46D8BD3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商品混凝土</w:t>
                  </w:r>
                </w:p>
              </w:tc>
              <w:tc>
                <w:tcPr>
                  <w:tcW w:w="643" w:type="pct"/>
                  <w:tcBorders>
                    <w:tl2br w:val="nil"/>
                    <w:tr2bl w:val="nil"/>
                  </w:tcBorders>
                  <w:vAlign w:val="center"/>
                </w:tcPr>
                <w:p w14:paraId="12DA72AE">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p>
              </w:tc>
              <w:tc>
                <w:tcPr>
                  <w:tcW w:w="490" w:type="pct"/>
                  <w:tcBorders>
                    <w:tl2br w:val="nil"/>
                    <w:tr2bl w:val="nil"/>
                  </w:tcBorders>
                  <w:vAlign w:val="center"/>
                </w:tcPr>
                <w:p w14:paraId="241BF1B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0.4</w:t>
                  </w:r>
                </w:p>
              </w:tc>
              <w:tc>
                <w:tcPr>
                  <w:tcW w:w="655" w:type="pct"/>
                  <w:tcBorders>
                    <w:tl2br w:val="nil"/>
                    <w:tr2bl w:val="nil"/>
                  </w:tcBorders>
                  <w:vAlign w:val="center"/>
                </w:tcPr>
                <w:p w14:paraId="2F4FB42B">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混凝土</w:t>
                  </w:r>
                  <w:r>
                    <w:rPr>
                      <w:rFonts w:hint="eastAsia"/>
                      <w:color w:val="000000" w:themeColor="text1"/>
                      <w:szCs w:val="21"/>
                      <w:highlight w:val="none"/>
                      <w:lang w:val="en-US" w:eastAsia="zh-CN"/>
                      <w14:textFill>
                        <w14:solidFill>
                          <w14:schemeClr w14:val="tx1"/>
                        </w14:solidFill>
                      </w14:textFill>
                    </w:rPr>
                    <w:t>10</w:t>
                  </w:r>
                  <w:r>
                    <w:rPr>
                      <w:rFonts w:hint="eastAsia"/>
                      <w:color w:val="000000" w:themeColor="text1"/>
                      <w:szCs w:val="21"/>
                      <w:highlight w:val="none"/>
                      <w14:textFill>
                        <w14:solidFill>
                          <w14:schemeClr w14:val="tx1"/>
                        </w14:solidFill>
                      </w14:textFill>
                    </w:rPr>
                    <w:t>0000m</w:t>
                  </w:r>
                  <w:r>
                    <w:rPr>
                      <w:rFonts w:hint="eastAsia"/>
                      <w:color w:val="000000" w:themeColor="text1"/>
                      <w:szCs w:val="21"/>
                      <w:highlight w:val="none"/>
                      <w:vertAlign w:val="superscript"/>
                      <w14:textFill>
                        <w14:solidFill>
                          <w14:schemeClr w14:val="tx1"/>
                        </w14:solidFill>
                      </w14:textFill>
                    </w:rPr>
                    <w:t>3</w:t>
                  </w:r>
                </w:p>
              </w:tc>
              <w:tc>
                <w:tcPr>
                  <w:tcW w:w="655" w:type="pct"/>
                  <w:tcBorders>
                    <w:tl2br w:val="nil"/>
                    <w:tr2bl w:val="nil"/>
                  </w:tcBorders>
                  <w:vAlign w:val="center"/>
                </w:tcPr>
                <w:p w14:paraId="4EA889D7">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lang w:val="en-US" w:eastAsia="zh-CN"/>
                      <w14:textFill>
                        <w14:solidFill>
                          <w14:schemeClr w14:val="tx1"/>
                        </w14:solidFill>
                      </w14:textFill>
                    </w:rPr>
                    <w:t>40</w:t>
                  </w:r>
                  <w:r>
                    <w:rPr>
                      <w:rFonts w:hint="eastAsia"/>
                      <w:color w:val="000000" w:themeColor="text1"/>
                      <w:szCs w:val="21"/>
                      <w:highlight w:val="none"/>
                      <w14:textFill>
                        <w14:solidFill>
                          <w14:schemeClr w14:val="tx1"/>
                        </w14:solidFill>
                      </w14:textFill>
                    </w:rPr>
                    <w:t>000m</w:t>
                  </w:r>
                  <w:r>
                    <w:rPr>
                      <w:rFonts w:hint="eastAsia"/>
                      <w:color w:val="000000" w:themeColor="text1"/>
                      <w:szCs w:val="21"/>
                      <w:highlight w:val="none"/>
                      <w:vertAlign w:val="superscript"/>
                      <w14:textFill>
                        <w14:solidFill>
                          <w14:schemeClr w14:val="tx1"/>
                        </w14:solidFill>
                      </w14:textFill>
                    </w:rPr>
                    <w:t>3</w:t>
                  </w:r>
                </w:p>
              </w:tc>
            </w:tr>
          </w:tbl>
          <w:p w14:paraId="63855930">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本项目混凝土生产总用水量为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40000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114.3</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eastAsia="zh-CN"/>
                <w14:textFill>
                  <w14:solidFill>
                    <w14:schemeClr w14:val="tx1"/>
                  </w14:solidFill>
                </w14:textFill>
              </w:rPr>
              <w:t>。此用水部分进入产品，部分蒸发损耗，不产生生产废水。</w:t>
            </w:r>
          </w:p>
          <w:p w14:paraId="3B8E235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根据建设单位提供，本项目生产水稳基层材料含水率为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4%，生产用水量为10000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28.6</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eastAsia="zh-CN"/>
                <w14:textFill>
                  <w14:solidFill>
                    <w14:schemeClr w14:val="tx1"/>
                  </w14:solidFill>
                </w14:textFill>
              </w:rPr>
              <w:t>。此用水部分进入产品，部分蒸发损耗，不产生生产废水。</w:t>
            </w:r>
          </w:p>
          <w:p w14:paraId="7410AF5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（2）搅拌机冲洗用水</w:t>
            </w:r>
          </w:p>
          <w:p w14:paraId="1F58766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搅拌主机为本项目的主要生产设备，一般情况下搅拌主机每天冲洗1次，根据建设单位提供资料，每台搅拌主机每次冲洗水用量为0.5m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/次，项目</w:t>
            </w:r>
            <w:r>
              <w:rPr>
                <w:rFonts w:hint="eastAsia" w:ascii="Times New Roman" w:hAnsi="Times New Roman" w:eastAsia="宋体"/>
                <w:color w:val="000000" w:themeColor="text1"/>
                <w:sz w:val="24"/>
                <w:szCs w:val="24"/>
                <w:highlight w:val="none"/>
                <w:lang w:eastAsia="zh-CN"/>
                <w14:textFill>
                  <w14:solidFill>
                    <w14:schemeClr w14:val="tx1"/>
                  </w14:solidFill>
                </w14:textFill>
              </w:rPr>
              <w:t>拌和站两</w:t>
            </w:r>
            <w:r>
              <w:rPr>
                <w:rFonts w:ascii="Times New Roman" w:hAnsi="Times New Roman" w:eastAsia="宋体"/>
                <w:color w:val="000000" w:themeColor="text1"/>
                <w:sz w:val="24"/>
                <w:szCs w:val="24"/>
                <w:highlight w:val="none"/>
                <w14:textFill>
                  <w14:solidFill>
                    <w14:schemeClr w14:val="tx1"/>
                  </w14:solidFill>
                </w14:textFill>
              </w:rPr>
              <w:t>套搅拌主机</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水稳</w:t>
            </w:r>
            <w:r>
              <w:rPr>
                <w:rFonts w:hint="eastAsia" w:ascii="Times New Roman" w:hAnsi="Times New Roman" w:eastAsia="宋体"/>
                <w:color w:val="000000" w:themeColor="text1"/>
                <w:sz w:val="24"/>
                <w:szCs w:val="24"/>
                <w:highlight w:val="none"/>
                <w:lang w:eastAsia="zh-CN"/>
                <w14:textFill>
                  <w14:solidFill>
                    <w14:schemeClr w14:val="tx1"/>
                  </w14:solidFill>
                </w14:textFill>
              </w:rPr>
              <w:t>站一</w:t>
            </w:r>
            <w:r>
              <w:rPr>
                <w:rFonts w:ascii="Times New Roman" w:hAnsi="Times New Roman" w:eastAsia="宋体"/>
                <w:color w:val="000000" w:themeColor="text1"/>
                <w:sz w:val="24"/>
                <w:szCs w:val="24"/>
                <w:highlight w:val="none"/>
                <w14:textFill>
                  <w14:solidFill>
                    <w14:schemeClr w14:val="tx1"/>
                  </w14:solidFill>
                </w14:textFill>
              </w:rPr>
              <w:t>套搅拌主机</w:t>
            </w:r>
            <w:r>
              <w:rPr>
                <w:rFonts w:hint="eastAsia" w:ascii="Times New Roman" w:hAnsi="Times New Roman" w:eastAsia="宋体"/>
                <w:color w:val="000000" w:themeColor="text1"/>
                <w:sz w:val="24"/>
                <w:szCs w:val="24"/>
                <w:highlight w:val="none"/>
                <w:lang w:eastAsia="zh-CN"/>
                <w14:textFill>
                  <w14:solidFill>
                    <w14:schemeClr w14:val="tx1"/>
                  </w14:solidFill>
                </w14:textFill>
              </w:rPr>
              <w:t>，则</w:t>
            </w:r>
            <w:r>
              <w:rPr>
                <w:rFonts w:ascii="Times New Roman" w:hAnsi="Times New Roman" w:eastAsia="宋体"/>
                <w:color w:val="000000" w:themeColor="text1"/>
                <w:sz w:val="24"/>
                <w:szCs w:val="24"/>
                <w:highlight w:val="none"/>
                <w14:textFill>
                  <w14:solidFill>
                    <w14:schemeClr w14:val="tx1"/>
                  </w14:solidFill>
                </w14:textFill>
              </w:rPr>
              <w:t>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则搅拌机冲洗废水量为1.35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472.5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624EB41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混凝土罐车、水稳材料运输车</w:t>
            </w:r>
            <w:r>
              <w:rPr>
                <w:rFonts w:hint="eastAsia" w:ascii="Times New Roman" w:hAnsi="Times New Roman" w:eastAsia="宋体"/>
                <w:color w:val="000000" w:themeColor="text1"/>
                <w:sz w:val="24"/>
                <w:szCs w:val="21"/>
                <w:highlight w:val="none"/>
                <w14:textFill>
                  <w14:solidFill>
                    <w14:schemeClr w14:val="tx1"/>
                  </w14:solidFill>
                </w14:textFill>
              </w:rPr>
              <w:t>冲洗用水</w:t>
            </w:r>
          </w:p>
          <w:p w14:paraId="38F3D3A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本项目共设置1</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4"/>
                <w:highlight w:val="none"/>
                <w14:textFill>
                  <w14:solidFill>
                    <w14:schemeClr w14:val="tx1"/>
                  </w14:solidFill>
                </w14:textFill>
              </w:rPr>
              <w:t>辆成品混凝土运输罐车</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10辆</w:t>
            </w:r>
            <w:r>
              <w:rPr>
                <w:rFonts w:hint="eastAsia" w:ascii="Times New Roman" w:hAnsi="Times New Roman" w:eastAsia="宋体"/>
                <w:color w:val="000000" w:themeColor="text1"/>
                <w:sz w:val="24"/>
                <w:szCs w:val="21"/>
                <w:highlight w:val="none"/>
                <w:lang w:eastAsia="zh-CN"/>
                <w14:textFill>
                  <w14:solidFill>
                    <w14:schemeClr w14:val="tx1"/>
                  </w14:solidFill>
                </w14:textFill>
              </w:rPr>
              <w:t>水稳材料运输车。</w:t>
            </w:r>
            <w:r>
              <w:rPr>
                <w:rFonts w:ascii="Times New Roman" w:hAnsi="Times New Roman" w:eastAsia="宋体"/>
                <w:color w:val="000000" w:themeColor="text1"/>
                <w:sz w:val="24"/>
                <w:szCs w:val="24"/>
                <w:highlight w:val="none"/>
                <w14:textFill>
                  <w14:solidFill>
                    <w14:schemeClr w14:val="tx1"/>
                  </w14:solidFill>
                </w14:textFill>
              </w:rPr>
              <w:t>根据建设单位提供资料，</w:t>
            </w:r>
            <w:r>
              <w:rPr>
                <w:rFonts w:hint="default" w:ascii="Times New Roman" w:hAnsi="Times New Roman" w:eastAsia="宋体" w:cs="Times New Roman"/>
                <w:color w:val="000000" w:themeColor="text1"/>
                <w:sz w:val="24"/>
                <w:szCs w:val="22"/>
                <w:highlight w:val="none"/>
                <w14:textFill>
                  <w14:solidFill>
                    <w14:schemeClr w14:val="tx1"/>
                  </w14:solidFill>
                </w14:textFill>
              </w:rPr>
              <w:t>每</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辆车每天</w:t>
            </w:r>
            <w:r>
              <w:rPr>
                <w:rFonts w:hint="default" w:ascii="Times New Roman" w:hAnsi="Times New Roman" w:eastAsia="宋体" w:cs="Times New Roman"/>
                <w:color w:val="000000" w:themeColor="text1"/>
                <w:sz w:val="24"/>
                <w:szCs w:val="22"/>
                <w:highlight w:val="none"/>
                <w14:textFill>
                  <w14:solidFill>
                    <w14:schemeClr w14:val="tx1"/>
                  </w14:solidFill>
                </w14:textFill>
              </w:rPr>
              <w:t>冲洗1次，</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每次冲洗用水量约为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辆，</w:t>
            </w:r>
            <w:r>
              <w:rPr>
                <w:rFonts w:hint="eastAsia" w:ascii="Times New Roman" w:hAnsi="Times New Roman" w:eastAsia="宋体"/>
                <w:color w:val="000000" w:themeColor="text1"/>
                <w:sz w:val="24"/>
                <w:szCs w:val="24"/>
                <w:highlight w:val="none"/>
                <w:lang w:eastAsia="zh-CN"/>
                <w14:textFill>
                  <w14:solidFill>
                    <w14:schemeClr w14:val="tx1"/>
                  </w14:solidFill>
                </w14:textFill>
              </w:rPr>
              <w:t>则项目混凝土运输罐车</w:t>
            </w:r>
            <w:r>
              <w:rPr>
                <w:rFonts w:hint="eastAsia" w:ascii="Times New Roman" w:hAnsi="Times New Roman" w:eastAsia="宋体"/>
                <w:color w:val="000000" w:themeColor="text1"/>
                <w:sz w:val="24"/>
                <w:szCs w:val="21"/>
                <w:highlight w:val="none"/>
                <w:lang w:eastAsia="zh-CN"/>
                <w14:textFill>
                  <w14:solidFill>
                    <w14:schemeClr w14:val="tx1"/>
                  </w14:solidFill>
                </w14:textFill>
              </w:rPr>
              <w:t>、水稳材料运输车</w:t>
            </w:r>
            <w:r>
              <w:rPr>
                <w:rFonts w:ascii="Times New Roman" w:hAnsi="Times New Roman" w:eastAsia="宋体"/>
                <w:color w:val="000000" w:themeColor="text1"/>
                <w:sz w:val="24"/>
                <w:szCs w:val="24"/>
                <w:highlight w:val="none"/>
                <w14:textFill>
                  <w14:solidFill>
                    <w14:schemeClr w14:val="tx1"/>
                  </w14:solidFill>
                </w14:textFill>
              </w:rPr>
              <w:t>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8750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则搅拌机冲洗废水量为22.5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7875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52C16AD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w:t>
            </w:r>
            <w:r>
              <w:rPr>
                <w:rFonts w:hint="eastAsia" w:ascii="Times New Roman" w:hAnsi="Times New Roman" w:eastAsia="宋体"/>
                <w:color w:val="000000" w:themeColor="text1"/>
                <w:sz w:val="24"/>
                <w:szCs w:val="21"/>
                <w:highlight w:val="none"/>
                <w14:textFill>
                  <w14:solidFill>
                    <w14:schemeClr w14:val="tx1"/>
                  </w14:solidFill>
                </w14:textFill>
              </w:rPr>
              <w:t>）养护</w:t>
            </w:r>
            <w:r>
              <w:rPr>
                <w:rFonts w:hint="eastAsia" w:ascii="Times New Roman" w:hAnsi="Times New Roman" w:eastAsia="宋体"/>
                <w:color w:val="000000" w:themeColor="text1"/>
                <w:sz w:val="24"/>
                <w:szCs w:val="21"/>
                <w:highlight w:val="none"/>
                <w:lang w:eastAsia="zh-CN"/>
                <w14:textFill>
                  <w14:solidFill>
                    <w14:schemeClr w14:val="tx1"/>
                  </w14:solidFill>
                </w14:textFill>
              </w:rPr>
              <w:t>用水</w:t>
            </w:r>
          </w:p>
          <w:p w14:paraId="6F2D7A0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预制件</w:t>
            </w:r>
            <w:r>
              <w:rPr>
                <w:rFonts w:hint="eastAsia" w:ascii="Times New Roman" w:hAnsi="Times New Roman" w:eastAsia="宋体"/>
                <w:color w:val="000000" w:themeColor="text1"/>
                <w:sz w:val="24"/>
                <w:szCs w:val="21"/>
                <w:highlight w:val="none"/>
                <w:lang w:eastAsia="zh-CN"/>
                <w14:textFill>
                  <w14:solidFill>
                    <w14:schemeClr w14:val="tx1"/>
                  </w14:solidFill>
                </w14:textFill>
              </w:rPr>
              <w:t>除冬季外（约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250d</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养护采取喷雾方式进行洒水养护，一天用水量约为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共</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3750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冬季养护（约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100d</w:t>
            </w:r>
            <w:r>
              <w:rPr>
                <w:rFonts w:hint="eastAsia" w:ascii="Times New Roman" w:hAnsi="Times New Roman" w:eastAsia="宋体"/>
                <w:color w:val="000000" w:themeColor="text1"/>
                <w:sz w:val="24"/>
                <w:szCs w:val="21"/>
                <w:highlight w:val="none"/>
                <w:lang w:eastAsia="zh-CN"/>
                <w14:textFill>
                  <w14:solidFill>
                    <w14:schemeClr w14:val="tx1"/>
                  </w14:solidFill>
                </w14:textFill>
              </w:rPr>
              <w:t>）采用电加热蒸汽发生器为养护工段提供蒸汽，日运行</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10小时，项目蒸养工段蒸汽用量约15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/d，蒸汽发生器自带软水制备系统，软水制备率为75%，消耗新鲜水约20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/d，共2000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。养护用水90%</w:t>
            </w:r>
            <w:r>
              <w:rPr>
                <w:rFonts w:hint="eastAsia" w:ascii="Times New Roman" w:hAnsi="Times New Roman" w:eastAsia="宋体"/>
                <w:color w:val="000000" w:themeColor="text1"/>
                <w:sz w:val="24"/>
                <w:szCs w:val="24"/>
                <w:highlight w:val="none"/>
                <w:lang w:eastAsia="zh-CN"/>
                <w14:textFill>
                  <w14:solidFill>
                    <w14:schemeClr w14:val="tx1"/>
                  </w14:solidFill>
                </w14:textFill>
              </w:rPr>
              <w:t>蒸发损耗，</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10%产生冷凝水，冷凝水产生量为1.5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蒸汽发生器自带软水制备系统浓水产生约为5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p>
          <w:p w14:paraId="0ECC2AE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破碎加工</w:t>
            </w:r>
            <w:r>
              <w:rPr>
                <w:rFonts w:hint="eastAsia" w:ascii="Times New Roman" w:hAnsi="Times New Roman" w:eastAsia="宋体"/>
                <w:color w:val="000000" w:themeColor="text1"/>
                <w:sz w:val="24"/>
                <w:szCs w:val="21"/>
                <w:highlight w:val="none"/>
                <w14:textFill>
                  <w14:solidFill>
                    <w14:schemeClr w14:val="tx1"/>
                  </w14:solidFill>
                </w14:textFill>
              </w:rPr>
              <w:t>用水</w:t>
            </w:r>
          </w:p>
          <w:p w14:paraId="314A689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项目在</w:t>
            </w:r>
            <w:r>
              <w:rPr>
                <w:rFonts w:hint="eastAsia" w:ascii="Times New Roman" w:hAnsi="Times New Roman" w:eastAsia="宋体"/>
                <w:color w:val="000000" w:themeColor="text1"/>
                <w:sz w:val="24"/>
                <w:szCs w:val="21"/>
                <w:highlight w:val="none"/>
                <w:lang w:eastAsia="zh-CN"/>
                <w14:textFill>
                  <w14:solidFill>
                    <w14:schemeClr w14:val="tx1"/>
                  </w14:solidFill>
                </w14:textFill>
              </w:rPr>
              <w:t>碎石</w:t>
            </w:r>
            <w:r>
              <w:rPr>
                <w:rFonts w:hint="eastAsia" w:ascii="Times New Roman" w:hAnsi="Times New Roman" w:eastAsia="宋体"/>
                <w:color w:val="000000" w:themeColor="text1"/>
                <w:sz w:val="24"/>
                <w:szCs w:val="21"/>
                <w:highlight w:val="none"/>
                <w14:textFill>
                  <w14:solidFill>
                    <w14:schemeClr w14:val="tx1"/>
                  </w14:solidFill>
                </w14:textFill>
              </w:rPr>
              <w:t>生产过程中，</w:t>
            </w:r>
            <w:r>
              <w:rPr>
                <w:rFonts w:hint="eastAsia" w:ascii="Times New Roman" w:hAnsi="Times New Roman" w:eastAsia="宋体"/>
                <w:color w:val="000000" w:themeColor="text1"/>
                <w:sz w:val="24"/>
                <w:szCs w:val="21"/>
                <w:highlight w:val="none"/>
                <w:lang w:eastAsia="zh-CN"/>
                <w14:textFill>
                  <w14:solidFill>
                    <w14:schemeClr w14:val="tx1"/>
                  </w14:solidFill>
                </w14:textFill>
              </w:rPr>
              <w:t>破碎</w:t>
            </w:r>
            <w:r>
              <w:rPr>
                <w:rFonts w:hint="eastAsia" w:ascii="Times New Roman" w:hAnsi="Times New Roman" w:eastAsia="宋体"/>
                <w:color w:val="000000" w:themeColor="text1"/>
                <w:sz w:val="24"/>
                <w:szCs w:val="21"/>
                <w:highlight w:val="none"/>
                <w14:textFill>
                  <w14:solidFill>
                    <w14:schemeClr w14:val="tx1"/>
                  </w14:solidFill>
                </w14:textFill>
              </w:rPr>
              <w:t>工序需大量用水，产生</w:t>
            </w:r>
            <w:r>
              <w:rPr>
                <w:rFonts w:hint="eastAsia" w:ascii="Times New Roman" w:hAnsi="Times New Roman" w:eastAsia="宋体"/>
                <w:color w:val="000000" w:themeColor="text1"/>
                <w:sz w:val="24"/>
                <w:szCs w:val="21"/>
                <w:highlight w:val="none"/>
                <w:lang w:eastAsia="zh-CN"/>
                <w14:textFill>
                  <w14:solidFill>
                    <w14:schemeClr w14:val="tx1"/>
                  </w14:solidFill>
                </w14:textFill>
              </w:rPr>
              <w:t>含</w:t>
            </w:r>
            <w:r>
              <w:rPr>
                <w:rFonts w:hint="eastAsia" w:ascii="Times New Roman" w:hAnsi="Times New Roman" w:eastAsia="宋体"/>
                <w:color w:val="000000" w:themeColor="text1"/>
                <w:sz w:val="24"/>
                <w:szCs w:val="21"/>
                <w:highlight w:val="none"/>
                <w14:textFill>
                  <w14:solidFill>
                    <w14:schemeClr w14:val="tx1"/>
                  </w14:solidFill>
                </w14:textFill>
              </w:rPr>
              <w:t>砂废水。根据建设单位提供资料，项目</w:t>
            </w:r>
            <w:r>
              <w:rPr>
                <w:rFonts w:hint="eastAsia" w:ascii="Times New Roman" w:hAnsi="Times New Roman" w:eastAsia="宋体"/>
                <w:color w:val="000000" w:themeColor="text1"/>
                <w:sz w:val="24"/>
                <w:szCs w:val="21"/>
                <w:highlight w:val="none"/>
                <w:lang w:eastAsia="zh-CN"/>
                <w14:textFill>
                  <w14:solidFill>
                    <w14:schemeClr w14:val="tx1"/>
                  </w14:solidFill>
                </w14:textFill>
              </w:rPr>
              <w:t>破碎加工</w:t>
            </w:r>
            <w:r>
              <w:rPr>
                <w:rFonts w:hint="eastAsia" w:ascii="Times New Roman" w:hAnsi="Times New Roman" w:eastAsia="宋体"/>
                <w:color w:val="000000" w:themeColor="text1"/>
                <w:sz w:val="24"/>
                <w:szCs w:val="21"/>
                <w:highlight w:val="none"/>
                <w14:textFill>
                  <w14:solidFill>
                    <w14:schemeClr w14:val="tx1"/>
                  </w14:solidFill>
                </w14:textFill>
              </w:rPr>
              <w:t>最大用水量为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/h计，则洗砂用水量为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/d，1</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75</w:t>
            </w:r>
            <w:r>
              <w:rPr>
                <w:rFonts w:hint="eastAsia" w:ascii="Times New Roman" w:hAnsi="Times New Roman" w:eastAsia="宋体"/>
                <w:color w:val="000000" w:themeColor="text1"/>
                <w:sz w:val="24"/>
                <w:szCs w:val="21"/>
                <w:highlight w:val="none"/>
                <w14:textFill>
                  <w14:solidFill>
                    <w14:schemeClr w14:val="tx1"/>
                  </w14:solidFill>
                </w14:textFill>
              </w:rPr>
              <w:t>00m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则搅拌机冲洗废水量为45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15750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7E71589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6</w:t>
            </w:r>
            <w:r>
              <w:rPr>
                <w:rFonts w:hint="eastAsia" w:ascii="Times New Roman" w:hAnsi="Times New Roman" w:eastAsia="宋体"/>
                <w:color w:val="000000" w:themeColor="text1"/>
                <w:sz w:val="24"/>
                <w:szCs w:val="21"/>
                <w:highlight w:val="none"/>
                <w14:textFill>
                  <w14:solidFill>
                    <w14:schemeClr w14:val="tx1"/>
                  </w14:solidFill>
                </w14:textFill>
              </w:rPr>
              <w:t>）运输车辆冲洗用水</w:t>
            </w:r>
          </w:p>
          <w:p w14:paraId="1A6B79C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运输车辆包括：原辅料、生活物资及罐车等其他车辆。</w:t>
            </w:r>
          </w:p>
          <w:p w14:paraId="3B58555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①</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成品运输：</w:t>
            </w:r>
            <w:r>
              <w:rPr>
                <w:rFonts w:hint="default" w:ascii="Times New Roman" w:hAnsi="Times New Roman" w:eastAsia="宋体" w:cs="Times New Roman"/>
                <w:color w:val="000000" w:themeColor="text1"/>
                <w:sz w:val="24"/>
                <w:szCs w:val="22"/>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共配备混凝土运输罐车</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5辆</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，混凝土装载量为10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/车，本项目生产商品混凝土1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其中9040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a通过混凝土罐车拉运至施工现场，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混凝土罐车</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26</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加工砂石52500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其中38500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a（约96250t/a）三背回填材料全部拉运至施工现场，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砂石运输车辆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9</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加工水稳基层材料108800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水稳基层材料，</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加工钢筋结构件8100t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其中5220t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加工预制梁约283片</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/d。则本项目成品运输车次约为68</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382DB6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②</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原料运输：</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碎石加工原料</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52700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碎石加工</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原料运输车辆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13</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；本项目水稳站年用碎石</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180000t/a，</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厂区内自产碎石约</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14000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a（约35000t/a）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其余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145000t/a需外购，石粉年用量为80000t/a，</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、石粉</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原料水泥、粉煤灰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年用量共计34000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t计算，</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水泥</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、粉煤灰运输车辆约为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拌和站各骨料原料用量为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2174</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00t/a，</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拌和站各骨料原料</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钢筋等其他原料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则本项目原料运输车次约为62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0E58798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本项目原料及成品运输总车次约为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130</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/d。厂区</w:t>
            </w:r>
            <w:r>
              <w:rPr>
                <w:rFonts w:hint="eastAsia" w:ascii="Times New Roman" w:hAnsi="Times New Roman" w:eastAsia="宋体"/>
                <w:color w:val="000000" w:themeColor="text1"/>
                <w:sz w:val="24"/>
                <w:szCs w:val="21"/>
                <w:highlight w:val="none"/>
                <w14:textFill>
                  <w14:solidFill>
                    <w14:schemeClr w14:val="tx1"/>
                  </w14:solidFill>
                </w14:textFill>
              </w:rPr>
              <w:t>对进出车辆轮胎进行喷淋冲洗，避免带泥上路，减少扬尘产生。拌和站设置轮胎清洗机，参照《四川省用水定额》（川府函〔2021〕8号），载重汽车用水量为100L/（辆·次）</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则运输车辆冲洗用水量为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26</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9100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则冲洗废水量为23.4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8190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61A7ABE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w:t>
            </w:r>
            <w:r>
              <w:rPr>
                <w:rFonts w:hint="eastAsia" w:ascii="Times New Roman" w:hAnsi="Times New Roman" w:eastAsia="宋体"/>
                <w:color w:val="000000" w:themeColor="text1"/>
                <w:sz w:val="24"/>
                <w:szCs w:val="21"/>
                <w:highlight w:val="none"/>
                <w14:textFill>
                  <w14:solidFill>
                    <w14:schemeClr w14:val="tx1"/>
                  </w14:solidFill>
                </w14:textFill>
              </w:rPr>
              <w:t>）地坪冲洗用水</w:t>
            </w:r>
          </w:p>
          <w:p w14:paraId="0502FEA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场站内车辆出入较为频繁，车辆从厂外携带大量的粉尘进入厂内，需定期对道路进行清扫。参照《四川省用水定额》（川府函〔2021〕8号），环境卫生城市道路冲洗用水量为2L/m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·d，冲洗地坪面积约3000m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，地坪冲洗用水量为6m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/d，2100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w:t>
            </w:r>
            <w:r>
              <w:rPr>
                <w:rFonts w:hint="eastAsia" w:ascii="Times New Roman" w:hAnsi="Times New Roman" w:eastAsia="宋体"/>
                <w:color w:val="000000" w:themeColor="text1"/>
                <w:sz w:val="24"/>
                <w:szCs w:val="21"/>
                <w:highlight w:val="none"/>
                <w14:textFill>
                  <w14:solidFill>
                    <w14:schemeClr w14:val="tx1"/>
                  </w14:solidFill>
                </w14:textFill>
              </w:rPr>
              <w:t>地坪冲洗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废水量为4.8</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1680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73C47D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8</w:t>
            </w:r>
            <w:r>
              <w:rPr>
                <w:rFonts w:hint="eastAsia" w:ascii="Times New Roman" w:hAnsi="Times New Roman" w:eastAsia="宋体"/>
                <w:color w:val="000000" w:themeColor="text1"/>
                <w:sz w:val="24"/>
                <w:szCs w:val="21"/>
                <w:highlight w:val="none"/>
                <w14:textFill>
                  <w14:solidFill>
                    <w14:schemeClr w14:val="tx1"/>
                  </w14:solidFill>
                </w14:textFill>
              </w:rPr>
              <w:t>）降尘用水</w:t>
            </w:r>
          </w:p>
          <w:p w14:paraId="60FE8FE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搅拌楼、</w:t>
            </w:r>
            <w:r>
              <w:rPr>
                <w:rFonts w:hint="default" w:ascii="Times New Roman" w:hAnsi="Times New Roman" w:eastAsia="宋体" w:cs="Times New Roman"/>
                <w:color w:val="000000" w:themeColor="text1"/>
                <w:sz w:val="24"/>
                <w:szCs w:val="24"/>
                <w:highlight w:val="none"/>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、皮带输送进料口均</w:t>
            </w:r>
            <w:r>
              <w:rPr>
                <w:rFonts w:hint="default" w:ascii="Times New Roman" w:hAnsi="Times New Roman" w:eastAsia="宋体" w:cs="Times New Roman"/>
                <w:color w:val="000000" w:themeColor="text1"/>
                <w:sz w:val="24"/>
                <w:szCs w:val="24"/>
                <w:highlight w:val="none"/>
                <w14:textFill>
                  <w14:solidFill>
                    <w14:schemeClr w14:val="tx1"/>
                  </w14:solidFill>
                </w14:textFill>
              </w:rPr>
              <w:t>设置喷雾装置进</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行</w:t>
            </w:r>
            <w:r>
              <w:rPr>
                <w:rFonts w:hint="default" w:ascii="Times New Roman" w:hAnsi="Times New Roman" w:eastAsia="宋体" w:cs="Times New Roman"/>
                <w:color w:val="000000" w:themeColor="text1"/>
                <w:sz w:val="24"/>
                <w:szCs w:val="24"/>
                <w:highlight w:val="none"/>
                <w14:textFill>
                  <w14:solidFill>
                    <w14:schemeClr w14:val="tx1"/>
                  </w14:solidFill>
                </w14:textFill>
              </w:rPr>
              <w:t>除尘，同时厂区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设置除尘雾炮机</w:t>
            </w:r>
            <w:r>
              <w:rPr>
                <w:rFonts w:hint="default" w:ascii="Times New Roman" w:hAnsi="Times New Roman" w:eastAsia="宋体" w:cs="Times New Roman"/>
                <w:color w:val="000000" w:themeColor="text1"/>
                <w:sz w:val="24"/>
                <w:szCs w:val="24"/>
                <w:highlight w:val="none"/>
                <w14:textFill>
                  <w14:solidFill>
                    <w14:schemeClr w14:val="tx1"/>
                  </w14:solidFill>
                </w14:textFill>
              </w:rPr>
              <w:t>进行洒水抑尘，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设置洒水车进行道路抑尘。砂石料仓喷雾装置</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用水量约为0.0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23个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）内</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安装</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每个搅拌楼内安装一个喷雾点</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，每个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皮带输送进料口</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安装一个喷雾点</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每日开启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小时，</w:t>
            </w:r>
            <w:r>
              <w:rPr>
                <w:rFonts w:hint="default" w:ascii="Times New Roman" w:hAnsi="Times New Roman" w:eastAsia="宋体" w:cs="Times New Roman"/>
                <w:color w:val="000000" w:themeColor="text1"/>
                <w:sz w:val="24"/>
                <w:szCs w:val="24"/>
                <w:highlight w:val="none"/>
                <w14:textFill>
                  <w14:solidFill>
                    <w14:schemeClr w14:val="tx1"/>
                  </w14:solidFill>
                </w14:textFill>
              </w:rPr>
              <w:t>则抑尘用水约为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5320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）。厂区内共设置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除尘雾炮机，每台除尘雾炮机用水量约为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h，每日开启2小时，则雾炮机用水量为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3150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）。厂区内配备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辆洒水车，每日进行运输道路洒水抑尘，每辆洒水车用水量约为10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，则道路抑尘用水量为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降尘用水全部蒸发损耗。</w:t>
            </w:r>
          </w:p>
          <w:p w14:paraId="449E0D8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9</w:t>
            </w:r>
            <w:r>
              <w:rPr>
                <w:rFonts w:hint="eastAsia" w:ascii="Times New Roman" w:hAnsi="Times New Roman" w:eastAsia="宋体"/>
                <w:color w:val="000000" w:themeColor="text1"/>
                <w:sz w:val="24"/>
                <w:szCs w:val="21"/>
                <w:highlight w:val="none"/>
                <w14:textFill>
                  <w14:solidFill>
                    <w14:schemeClr w14:val="tx1"/>
                  </w14:solidFill>
                </w14:textFill>
              </w:rPr>
              <w:t>）生活用水</w:t>
            </w:r>
          </w:p>
          <w:p w14:paraId="6C27E83E">
            <w:pPr>
              <w:keepNext w:val="0"/>
              <w:keepLines w:val="0"/>
              <w:pageBreakBefore w:val="0"/>
              <w:widowControl w:val="0"/>
              <w:kinsoku/>
              <w:wordWrap w:val="0"/>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项目共有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160</w:t>
            </w:r>
            <w:r>
              <w:rPr>
                <w:rFonts w:hint="default" w:ascii="Times New Roman" w:hAnsi="Times New Roman" w:eastAsia="宋体" w:cs="Times New Roman"/>
                <w:color w:val="000000" w:themeColor="text1"/>
                <w:sz w:val="24"/>
                <w:szCs w:val="24"/>
                <w:highlight w:val="none"/>
                <w14:textFill>
                  <w14:solidFill>
                    <w14:schemeClr w14:val="tx1"/>
                  </w14:solidFill>
                </w14:textFill>
              </w:rPr>
              <w:t>名员工，均在项目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生活区</w:t>
            </w:r>
            <w:r>
              <w:rPr>
                <w:rFonts w:hint="default" w:ascii="Times New Roman" w:hAnsi="Times New Roman" w:eastAsia="宋体" w:cs="Times New Roman"/>
                <w:color w:val="000000" w:themeColor="text1"/>
                <w:sz w:val="24"/>
                <w:szCs w:val="24"/>
                <w:highlight w:val="none"/>
                <w14:textFill>
                  <w14:solidFill>
                    <w14:schemeClr w14:val="tx1"/>
                  </w14:solidFill>
                </w14:textFill>
              </w:rPr>
              <w:t>食宿</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w:t>
            </w:r>
            <w:r>
              <w:rPr>
                <w:rFonts w:hint="default" w:ascii="Times New Roman" w:hAnsi="Times New Roman" w:eastAsia="宋体" w:cs="Times New Roman"/>
                <w:color w:val="000000" w:themeColor="text1"/>
                <w:sz w:val="24"/>
                <w:highlight w:val="none"/>
                <w14:textFill>
                  <w14:solidFill>
                    <w14:schemeClr w14:val="tx1"/>
                  </w14:solidFill>
                </w14:textFill>
              </w:rPr>
              <w:t>《四川省用水定额》（川府函〔2021〕8号）制定的各项用水定额</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员工</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用水定额</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0L/人·d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14:textFill>
                  <w14:solidFill>
                    <w14:schemeClr w14:val="tx1"/>
                  </w14:solidFill>
                </w14:textFill>
              </w:rPr>
              <w:t>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故项目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3360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1680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废水产生量按照用水量的0.8计算，则项目生活污水产生量约为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7.68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2688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3.84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1344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396156B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default" w:ascii="Times New Roman" w:hAnsi="Times New Roman" w:eastAsia="宋体" w:cs="Times New Roman"/>
                <w:b w:val="0"/>
                <w:bCs w:val="0"/>
                <w:color w:val="000000" w:themeColor="text1"/>
                <w:sz w:val="24"/>
                <w:szCs w:val="22"/>
                <w:highlight w:val="none"/>
                <w:lang w:val="en-US" w:eastAsia="zh-CN"/>
                <w14:textFill>
                  <w14:solidFill>
                    <w14:schemeClr w14:val="tx1"/>
                  </w14:solidFill>
                </w14:textFill>
              </w:rPr>
              <w:t>综上所述，本项目用水量约为</w:t>
            </w:r>
            <w:r>
              <w:rPr>
                <w:rFonts w:hint="eastAsia" w:ascii="Times New Roman" w:hAnsi="Times New Roman" w:eastAsia="宋体" w:cs="Times New Roman"/>
                <w:b w:val="0"/>
                <w:bCs w:val="0"/>
                <w:color w:val="000000" w:themeColor="text1"/>
                <w:sz w:val="24"/>
                <w:szCs w:val="22"/>
                <w:highlight w:val="none"/>
                <w:lang w:val="en-US" w:eastAsia="zh-CN"/>
                <w14:textFill>
                  <w14:solidFill>
                    <w14:schemeClr w14:val="tx1"/>
                  </w14:solidFill>
                </w14:textFill>
              </w:rPr>
              <w:t>315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冬季为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320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11.075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万</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w:t>
            </w:r>
          </w:p>
          <w:p w14:paraId="5B63AE9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3、排水</w:t>
            </w:r>
          </w:p>
          <w:p w14:paraId="4DBF6B1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b/>
                <w:bCs/>
                <w:color w:val="000000" w:themeColor="text1"/>
                <w:sz w:val="24"/>
                <w:highlight w:val="none"/>
                <w:lang w:eastAsia="zh-CN"/>
                <w14:textFill>
                  <w14:solidFill>
                    <w14:schemeClr w14:val="tx1"/>
                  </w14:solidFill>
                </w14:textFill>
              </w:rPr>
            </w:pPr>
            <w:r>
              <w:rPr>
                <w:rFonts w:hint="eastAsia" w:ascii="Times New Roman" w:hAnsi="Times New Roman" w:eastAsia="宋体"/>
                <w:b/>
                <w:bCs/>
                <w:color w:val="000000" w:themeColor="text1"/>
                <w:sz w:val="24"/>
                <w:highlight w:val="none"/>
                <w:lang w:eastAsia="zh-CN"/>
                <w14:textFill>
                  <w14:solidFill>
                    <w14:schemeClr w14:val="tx1"/>
                  </w14:solidFill>
                </w14:textFill>
              </w:rPr>
              <w:t>厂区内实行雨污分流制，场地外初期雨水经周边雨水沟导流排入市政雨水管网；场地内雨水井雨水沟收集后汇入雨水收集池，回用于抑尘用水；生产废水经处理后进行回用于抑尘用水；生活污水经化粪池处理后进入宝梵污水处理厂。</w:t>
            </w:r>
          </w:p>
          <w:p w14:paraId="10118D0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（1）生产废水</w:t>
            </w:r>
          </w:p>
          <w:p w14:paraId="3106837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商品混凝土及砼构件：生产用水</w:t>
            </w:r>
            <w:r>
              <w:rPr>
                <w:rFonts w:hint="eastAsia" w:ascii="Times New Roman" w:hAnsi="Times New Roman" w:eastAsia="宋体"/>
                <w:color w:val="000000" w:themeColor="text1"/>
                <w:sz w:val="24"/>
                <w:szCs w:val="24"/>
                <w:highlight w:val="none"/>
                <w:lang w:eastAsia="zh-CN"/>
                <w14:textFill>
                  <w14:solidFill>
                    <w14:schemeClr w14:val="tx1"/>
                  </w14:solidFill>
                </w14:textFill>
              </w:rPr>
              <w:t>部分进入产品，部分蒸发损耗</w:t>
            </w:r>
            <w:r>
              <w:rPr>
                <w:rFonts w:hint="eastAsia" w:ascii="Times New Roman" w:hAnsi="Times New Roman" w:eastAsia="宋体"/>
                <w:color w:val="000000" w:themeColor="text1"/>
                <w:sz w:val="24"/>
                <w:highlight w:val="none"/>
                <w14:textFill>
                  <w14:solidFill>
                    <w14:schemeClr w14:val="tx1"/>
                  </w14:solidFill>
                </w14:textFill>
              </w:rPr>
              <w:t>。</w:t>
            </w:r>
          </w:p>
          <w:p w14:paraId="032EE84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搅拌机冲洗废水：</w:t>
            </w:r>
            <w:r>
              <w:rPr>
                <w:rFonts w:hint="eastAsia" w:ascii="Times New Roman" w:hAnsi="Times New Roman" w:eastAsia="宋体"/>
                <w:color w:val="000000" w:themeColor="text1"/>
                <w:sz w:val="24"/>
                <w:highlight w:val="none"/>
                <w14:textFill>
                  <w14:solidFill>
                    <w14:schemeClr w14:val="tx1"/>
                  </w14:solidFill>
                </w14:textFill>
              </w:rPr>
              <w:t>按用水量90%计，则废水量为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1.35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472.5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2E3A027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混凝土罐车、水稳材料运输车冲洗用水：</w:t>
            </w:r>
            <w:r>
              <w:rPr>
                <w:rFonts w:hint="eastAsia" w:ascii="Times New Roman" w:hAnsi="Times New Roman" w:eastAsia="宋体"/>
                <w:color w:val="000000" w:themeColor="text1"/>
                <w:sz w:val="24"/>
                <w:highlight w:val="none"/>
                <w14:textFill>
                  <w14:solidFill>
                    <w14:schemeClr w14:val="tx1"/>
                  </w14:solidFill>
                </w14:textFill>
              </w:rPr>
              <w:t>按用水量90%计，则废水量为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7875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30AF42C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养护废水：</w:t>
            </w:r>
            <w:r>
              <w:rPr>
                <w:rFonts w:hint="eastAsia" w:ascii="Times New Roman" w:hAnsi="Times New Roman" w:eastAsia="宋体"/>
                <w:color w:val="000000" w:themeColor="text1"/>
                <w:sz w:val="24"/>
                <w:szCs w:val="21"/>
                <w:highlight w:val="none"/>
                <w:lang w:eastAsia="zh-CN"/>
                <w14:textFill>
                  <w14:solidFill>
                    <w14:schemeClr w14:val="tx1"/>
                  </w14:solidFill>
                </w14:textFill>
              </w:rPr>
              <w:t>冷凝水产生量按用水量</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10%计，</w:t>
            </w:r>
            <w:r>
              <w:rPr>
                <w:rFonts w:hint="eastAsia" w:ascii="Times New Roman" w:hAnsi="Times New Roman" w:eastAsia="宋体"/>
                <w:color w:val="000000" w:themeColor="text1"/>
                <w:sz w:val="24"/>
                <w:highlight w:val="none"/>
                <w14:textFill>
                  <w14:solidFill>
                    <w14:schemeClr w14:val="tx1"/>
                  </w14:solidFill>
                </w14:textFill>
              </w:rPr>
              <w:t>废水量为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；冬季蒸养发生器软水制备率</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75%，浓水量为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1"/>
                <w:highlight w:val="none"/>
                <w14:textFill>
                  <w14:solidFill>
                    <w14:schemeClr w14:val="tx1"/>
                  </w14:solidFill>
                </w14:textFill>
              </w:rPr>
              <w:t>。</w:t>
            </w:r>
          </w:p>
          <w:p w14:paraId="21CFC57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破碎加工</w:t>
            </w:r>
            <w:r>
              <w:rPr>
                <w:rFonts w:hint="eastAsia" w:ascii="Times New Roman" w:hAnsi="Times New Roman" w:eastAsia="宋体"/>
                <w:color w:val="000000" w:themeColor="text1"/>
                <w:sz w:val="24"/>
                <w:szCs w:val="21"/>
                <w:highlight w:val="none"/>
                <w14:textFill>
                  <w14:solidFill>
                    <w14:schemeClr w14:val="tx1"/>
                  </w14:solidFill>
                </w14:textFill>
              </w:rPr>
              <w:t>废水：</w:t>
            </w:r>
            <w:r>
              <w:rPr>
                <w:rFonts w:hint="eastAsia" w:ascii="Times New Roman" w:hAnsi="Times New Roman" w:eastAsia="宋体"/>
                <w:color w:val="000000" w:themeColor="text1"/>
                <w:sz w:val="24"/>
                <w:highlight w:val="none"/>
                <w14:textFill>
                  <w14:solidFill>
                    <w14:schemeClr w14:val="tx1"/>
                  </w14:solidFill>
                </w14:textFill>
              </w:rPr>
              <w:t>按用水量80%计，则废水量为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15750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1D69DE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运输车辆冲洗废水：</w:t>
            </w:r>
            <w:r>
              <w:rPr>
                <w:rFonts w:hint="eastAsia" w:ascii="Times New Roman" w:hAnsi="Times New Roman" w:eastAsia="宋体"/>
                <w:color w:val="000000" w:themeColor="text1"/>
                <w:sz w:val="24"/>
                <w:highlight w:val="none"/>
                <w14:textFill>
                  <w14:solidFill>
                    <w14:schemeClr w14:val="tx1"/>
                  </w14:solidFill>
                </w14:textFill>
              </w:rPr>
              <w:t>按用水量90%计，则废水量为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23.4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8190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6BB12B9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地坪冲洗废水：</w:t>
            </w:r>
            <w:r>
              <w:rPr>
                <w:rFonts w:hint="eastAsia" w:ascii="Times New Roman" w:hAnsi="Times New Roman" w:eastAsia="宋体"/>
                <w:color w:val="000000" w:themeColor="text1"/>
                <w:sz w:val="24"/>
                <w:highlight w:val="none"/>
                <w14:textFill>
                  <w14:solidFill>
                    <w14:schemeClr w14:val="tx1"/>
                  </w14:solidFill>
                </w14:textFill>
              </w:rPr>
              <w:t>按用水量80%计，则废水量为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4.8</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1680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09CA2D3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降尘用水：全部蒸发损失。</w:t>
            </w:r>
          </w:p>
          <w:p w14:paraId="2DFFC78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（2）生活污水</w:t>
            </w:r>
          </w:p>
          <w:p w14:paraId="39153E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3.84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1344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，经食堂内设置油水分离器</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有效</w:t>
            </w:r>
            <w:r>
              <w:rPr>
                <w:rFonts w:hint="default" w:ascii="Times New Roman" w:hAnsi="Times New Roman" w:eastAsia="宋体" w:cs="Times New Roman"/>
                <w:color w:val="000000" w:themeColor="text1"/>
                <w:sz w:val="24"/>
                <w:szCs w:val="24"/>
                <w:highlight w:val="none"/>
                <w14:textFill>
                  <w14:solidFill>
                    <w14:schemeClr w14:val="tx1"/>
                  </w14:solidFill>
                </w14:textFill>
              </w:rPr>
              <w:t>容积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除油后排入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全厂生活污水量为11.52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4032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（含经隔油处理餐饮废水）</w:t>
            </w:r>
            <w:r>
              <w:rPr>
                <w:rFonts w:hint="eastAsia" w:ascii="Times New Roman" w:hAnsi="Times New Roman" w:eastAsia="宋体"/>
                <w:color w:val="000000" w:themeColor="text1"/>
                <w:sz w:val="24"/>
                <w:szCs w:val="24"/>
                <w:highlight w:val="none"/>
                <w:lang w:eastAsia="zh-CN"/>
                <w14:textFill>
                  <w14:solidFill>
                    <w14:schemeClr w14:val="tx1"/>
                  </w14:solidFill>
                </w14:textFill>
              </w:rPr>
              <w:t>，全部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化粪池（容积分别为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14:textFill>
                  <w14:solidFill>
                    <w14:schemeClr w14:val="tx1"/>
                  </w14:solidFill>
                </w14:textFill>
              </w:rPr>
              <w:t>0m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），经化粪池处理后排入宝梵污水处理厂。</w:t>
            </w:r>
          </w:p>
          <w:p w14:paraId="256277D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（3）初期雨水</w:t>
            </w:r>
          </w:p>
          <w:p w14:paraId="3633DC6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根据第四章废水部分，雨水量为256.7</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/次，全部进入</w:t>
            </w:r>
            <w:r>
              <w:rPr>
                <w:rFonts w:hint="eastAsia" w:ascii="Times New Roman" w:hAnsi="Times New Roman" w:eastAsia="宋体"/>
                <w:color w:val="000000" w:themeColor="text1"/>
                <w:sz w:val="24"/>
                <w:szCs w:val="21"/>
                <w:highlight w:val="none"/>
                <w:lang w:eastAsia="zh-CN"/>
                <w14:textFill>
                  <w14:solidFill>
                    <w14:schemeClr w14:val="tx1"/>
                  </w14:solidFill>
                </w14:textFill>
              </w:rPr>
              <w:t>雨水收集池</w:t>
            </w:r>
            <w:r>
              <w:rPr>
                <w:rFonts w:hint="eastAsia" w:ascii="Times New Roman" w:hAnsi="Times New Roman" w:eastAsia="宋体"/>
                <w:color w:val="000000" w:themeColor="text1"/>
                <w:sz w:val="24"/>
                <w:szCs w:val="21"/>
                <w:highlight w:val="none"/>
                <w14:textFill>
                  <w14:solidFill>
                    <w14:schemeClr w14:val="tx1"/>
                  </w14:solidFill>
                </w14:textFill>
              </w:rPr>
              <w:t>中，经沉淀处理后回用于厂区</w:t>
            </w:r>
            <w:r>
              <w:rPr>
                <w:rFonts w:hint="eastAsia" w:ascii="Times New Roman" w:hAnsi="Times New Roman" w:eastAsia="宋体"/>
                <w:color w:val="000000" w:themeColor="text1"/>
                <w:sz w:val="24"/>
                <w:szCs w:val="21"/>
                <w:highlight w:val="none"/>
                <w:lang w:eastAsia="zh-CN"/>
                <w14:textFill>
                  <w14:solidFill>
                    <w14:schemeClr w14:val="tx1"/>
                  </w14:solidFill>
                </w14:textFill>
              </w:rPr>
              <w:t>生产用水</w:t>
            </w:r>
            <w:r>
              <w:rPr>
                <w:rFonts w:hint="eastAsia" w:ascii="Times New Roman" w:hAnsi="Times New Roman" w:eastAsia="宋体"/>
                <w:color w:val="000000" w:themeColor="text1"/>
                <w:sz w:val="24"/>
                <w:szCs w:val="21"/>
                <w:highlight w:val="none"/>
                <w14:textFill>
                  <w14:solidFill>
                    <w14:schemeClr w14:val="tx1"/>
                  </w14:solidFill>
                </w14:textFill>
              </w:rPr>
              <w:t>，不外排。</w:t>
            </w:r>
          </w:p>
          <w:p w14:paraId="48925E34">
            <w:pPr>
              <w:spacing w:line="360" w:lineRule="exact"/>
              <w:ind w:firstLine="422" w:firstLineChars="200"/>
              <w:jc w:val="right"/>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17 </w:t>
            </w:r>
            <w:r>
              <w:rPr>
                <w:rFonts w:ascii="Times New Roman" w:hAnsi="Times New Roman" w:eastAsia="宋体"/>
                <w:b/>
                <w:bCs/>
                <w:color w:val="000000" w:themeColor="text1"/>
                <w:szCs w:val="21"/>
                <w:highlight w:val="none"/>
                <w14:textFill>
                  <w14:solidFill>
                    <w14:schemeClr w14:val="tx1"/>
                  </w14:solidFill>
                </w14:textFill>
              </w:rPr>
              <w:t xml:space="preserve">   本项目用水与排水情况表</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单位：m</w:t>
            </w:r>
            <w:r>
              <w:rPr>
                <w:rFonts w:hint="eastAsia" w:ascii="Times New Roman" w:hAnsi="Times New Roman" w:eastAsia="宋体"/>
                <w:b/>
                <w:bCs/>
                <w:color w:val="000000" w:themeColor="text1"/>
                <w:szCs w:val="21"/>
                <w:highlight w:val="none"/>
                <w:vertAlign w:val="superscript"/>
                <w14:textFill>
                  <w14:solidFill>
                    <w14:schemeClr w14:val="tx1"/>
                  </w14:solidFill>
                </w14:textFill>
              </w:rPr>
              <w:t>3</w:t>
            </w:r>
            <w:r>
              <w:rPr>
                <w:rFonts w:hint="eastAsia" w:ascii="Times New Roman" w:hAnsi="Times New Roman" w:eastAsia="宋体"/>
                <w:b/>
                <w:bCs/>
                <w:color w:val="000000" w:themeColor="text1"/>
                <w:szCs w:val="21"/>
                <w:highlight w:val="none"/>
                <w14:textFill>
                  <w14:solidFill>
                    <w14:schemeClr w14:val="tx1"/>
                  </w14:solidFill>
                </w14:textFill>
              </w:rPr>
              <w:t>/d</w:t>
            </w:r>
          </w:p>
          <w:tbl>
            <w:tblPr>
              <w:tblStyle w:val="21"/>
              <w:tblW w:w="4953" w:type="pct"/>
              <w:jc w:val="center"/>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16"/>
              <w:gridCol w:w="676"/>
              <w:gridCol w:w="1014"/>
              <w:gridCol w:w="1140"/>
              <w:gridCol w:w="1027"/>
              <w:gridCol w:w="696"/>
              <w:gridCol w:w="1098"/>
              <w:gridCol w:w="1894"/>
            </w:tblGrid>
            <w:tr w14:paraId="030E4261">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tcBorders>
                    <w:top w:val="single" w:color="auto" w:sz="12" w:space="0"/>
                  </w:tcBorders>
                  <w:vAlign w:val="center"/>
                </w:tcPr>
                <w:p w14:paraId="471454E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061" w:type="pct"/>
                  <w:gridSpan w:val="2"/>
                  <w:tcBorders>
                    <w:top w:val="single" w:color="auto" w:sz="12" w:space="0"/>
                  </w:tcBorders>
                  <w:vAlign w:val="center"/>
                </w:tcPr>
                <w:p w14:paraId="30F76D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用水类别</w:t>
                  </w:r>
                </w:p>
              </w:tc>
              <w:tc>
                <w:tcPr>
                  <w:tcW w:w="715" w:type="pct"/>
                  <w:tcBorders>
                    <w:top w:val="single" w:color="auto" w:sz="12" w:space="0"/>
                  </w:tcBorders>
                  <w:vAlign w:val="center"/>
                </w:tcPr>
                <w:p w14:paraId="5E4701F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用水标准</w:t>
                  </w:r>
                </w:p>
              </w:tc>
              <w:tc>
                <w:tcPr>
                  <w:tcW w:w="645" w:type="pct"/>
                  <w:tcBorders>
                    <w:top w:val="single" w:color="auto" w:sz="12" w:space="0"/>
                  </w:tcBorders>
                  <w:vAlign w:val="center"/>
                </w:tcPr>
                <w:p w14:paraId="0402D8F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规模</w:t>
                  </w:r>
                </w:p>
              </w:tc>
              <w:tc>
                <w:tcPr>
                  <w:tcW w:w="437" w:type="pct"/>
                  <w:tcBorders>
                    <w:top w:val="single" w:color="auto" w:sz="12" w:space="0"/>
                  </w:tcBorders>
                  <w:vAlign w:val="center"/>
                </w:tcPr>
                <w:p w14:paraId="18E82FE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用水量</w:t>
                  </w:r>
                </w:p>
              </w:tc>
              <w:tc>
                <w:tcPr>
                  <w:tcW w:w="689" w:type="pct"/>
                  <w:tcBorders>
                    <w:top w:val="single" w:color="auto" w:sz="12" w:space="0"/>
                  </w:tcBorders>
                  <w:vAlign w:val="center"/>
                </w:tcPr>
                <w:p w14:paraId="222D64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产污系数</w:t>
                  </w:r>
                </w:p>
              </w:tc>
              <w:tc>
                <w:tcPr>
                  <w:tcW w:w="1189" w:type="pct"/>
                  <w:tcBorders>
                    <w:top w:val="single" w:color="auto" w:sz="12" w:space="0"/>
                    <w:right w:val="nil"/>
                  </w:tcBorders>
                  <w:vAlign w:val="center"/>
                </w:tcPr>
                <w:p w14:paraId="01DBE3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排水量</w:t>
                  </w:r>
                </w:p>
              </w:tc>
            </w:tr>
            <w:tr w14:paraId="60B0EDC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restart"/>
                  <w:vAlign w:val="center"/>
                </w:tcPr>
                <w:p w14:paraId="738EAD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1061" w:type="pct"/>
                  <w:gridSpan w:val="2"/>
                  <w:vAlign w:val="center"/>
                </w:tcPr>
                <w:p w14:paraId="33F44C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混凝土生产</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用水</w:t>
                  </w:r>
                </w:p>
              </w:tc>
              <w:tc>
                <w:tcPr>
                  <w:tcW w:w="715" w:type="pct"/>
                  <w:vAlign w:val="center"/>
                </w:tcPr>
                <w:p w14:paraId="29C9EF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0.4m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p>
              </w:tc>
              <w:tc>
                <w:tcPr>
                  <w:tcW w:w="645" w:type="pct"/>
                  <w:vAlign w:val="center"/>
                </w:tcPr>
                <w:p w14:paraId="7CD5DE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混凝土约285.7</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d</w:t>
                  </w:r>
                </w:p>
              </w:tc>
              <w:tc>
                <w:tcPr>
                  <w:tcW w:w="437" w:type="pct"/>
                  <w:vAlign w:val="center"/>
                </w:tcPr>
                <w:p w14:paraId="3C7E4AA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114.3</w:t>
                  </w:r>
                </w:p>
              </w:tc>
              <w:tc>
                <w:tcPr>
                  <w:tcW w:w="689" w:type="pct"/>
                  <w:vAlign w:val="center"/>
                </w:tcPr>
                <w:p w14:paraId="783D403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09AB895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部分进入产品，</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部分</w:t>
                  </w:r>
                  <w:r>
                    <w:rPr>
                      <w:rFonts w:hint="default" w:ascii="Times New Roman" w:hAnsi="Times New Roman" w:eastAsia="宋体" w:cs="Times New Roman"/>
                      <w:color w:val="000000" w:themeColor="text1"/>
                      <w:sz w:val="21"/>
                      <w:szCs w:val="21"/>
                      <w:highlight w:val="none"/>
                      <w14:textFill>
                        <w14:solidFill>
                          <w14:schemeClr w14:val="tx1"/>
                        </w14:solidFill>
                      </w14:textFill>
                    </w:rPr>
                    <w:t>蒸发损耗</w:t>
                  </w:r>
                </w:p>
              </w:tc>
            </w:tr>
            <w:tr w14:paraId="75F5BAEB">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continue"/>
                  <w:vAlign w:val="center"/>
                </w:tcPr>
                <w:p w14:paraId="528EE3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061" w:type="pct"/>
                  <w:gridSpan w:val="2"/>
                  <w:vAlign w:val="center"/>
                </w:tcPr>
                <w:p w14:paraId="08D84F5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水稳基层材料生产用水</w:t>
                  </w:r>
                </w:p>
              </w:tc>
              <w:tc>
                <w:tcPr>
                  <w:tcW w:w="715" w:type="pct"/>
                  <w:vAlign w:val="center"/>
                </w:tcPr>
                <w:p w14:paraId="540797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645" w:type="pct"/>
                  <w:vAlign w:val="center"/>
                </w:tcPr>
                <w:p w14:paraId="72197E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437" w:type="pct"/>
                  <w:vAlign w:val="center"/>
                </w:tcPr>
                <w:p w14:paraId="2A1CAA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28.6</w:t>
                  </w:r>
                </w:p>
              </w:tc>
              <w:tc>
                <w:tcPr>
                  <w:tcW w:w="689" w:type="pct"/>
                  <w:vAlign w:val="center"/>
                </w:tcPr>
                <w:p w14:paraId="225DD7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7AB026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部分进入产品，</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部分</w:t>
                  </w:r>
                  <w:r>
                    <w:rPr>
                      <w:rFonts w:hint="default" w:ascii="Times New Roman" w:hAnsi="Times New Roman" w:eastAsia="宋体" w:cs="Times New Roman"/>
                      <w:color w:val="000000" w:themeColor="text1"/>
                      <w:sz w:val="21"/>
                      <w:szCs w:val="21"/>
                      <w:highlight w:val="none"/>
                      <w14:textFill>
                        <w14:solidFill>
                          <w14:schemeClr w14:val="tx1"/>
                        </w14:solidFill>
                      </w14:textFill>
                    </w:rPr>
                    <w:t>蒸发损耗</w:t>
                  </w:r>
                </w:p>
              </w:tc>
            </w:tr>
            <w:tr w14:paraId="51E2DC4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4481ED1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1061" w:type="pct"/>
                  <w:gridSpan w:val="2"/>
                  <w:vAlign w:val="center"/>
                </w:tcPr>
                <w:p w14:paraId="25EDDE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搅拌机冲洗</w:t>
                  </w:r>
                </w:p>
              </w:tc>
              <w:tc>
                <w:tcPr>
                  <w:tcW w:w="715" w:type="pct"/>
                  <w:vAlign w:val="center"/>
                </w:tcPr>
                <w:p w14:paraId="6535AA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0.5m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台·</w:t>
                  </w:r>
                  <w:r>
                    <w:rPr>
                      <w:rFonts w:hint="default" w:ascii="Times New Roman" w:hAnsi="Times New Roman" w:eastAsia="宋体" w:cs="Times New Roman"/>
                      <w:color w:val="000000" w:themeColor="text1"/>
                      <w:sz w:val="21"/>
                      <w:szCs w:val="21"/>
                      <w:highlight w:val="none"/>
                      <w14:textFill>
                        <w14:solidFill>
                          <w14:schemeClr w14:val="tx1"/>
                        </w14:solidFill>
                      </w14:textFill>
                    </w:rPr>
                    <w:t>次</w:t>
                  </w:r>
                </w:p>
              </w:tc>
              <w:tc>
                <w:tcPr>
                  <w:tcW w:w="645" w:type="pct"/>
                  <w:vAlign w:val="center"/>
                </w:tcPr>
                <w:p w14:paraId="0F3A42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3台·</w:t>
                  </w:r>
                  <w:r>
                    <w:rPr>
                      <w:rFonts w:hint="default" w:ascii="Times New Roman" w:hAnsi="Times New Roman" w:eastAsia="宋体" w:cs="Times New Roman"/>
                      <w:color w:val="000000" w:themeColor="text1"/>
                      <w:sz w:val="21"/>
                      <w:szCs w:val="21"/>
                      <w:highlight w:val="none"/>
                      <w14:textFill>
                        <w14:solidFill>
                          <w14:schemeClr w14:val="tx1"/>
                        </w14:solidFill>
                      </w14:textFill>
                    </w:rPr>
                    <w:t>次/</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d</w:t>
                  </w:r>
                </w:p>
              </w:tc>
              <w:tc>
                <w:tcPr>
                  <w:tcW w:w="437" w:type="pct"/>
                  <w:vAlign w:val="center"/>
                </w:tcPr>
                <w:p w14:paraId="5023B8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689" w:type="pct"/>
                  <w:vAlign w:val="center"/>
                </w:tcPr>
                <w:p w14:paraId="44B434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0.9</w:t>
                  </w:r>
                </w:p>
              </w:tc>
              <w:tc>
                <w:tcPr>
                  <w:tcW w:w="1189" w:type="pct"/>
                  <w:tcBorders>
                    <w:right w:val="nil"/>
                  </w:tcBorders>
                  <w:vAlign w:val="center"/>
                </w:tcPr>
                <w:p w14:paraId="5667D7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1.35；砂石分离器→五级沉淀池→回用于降尘，不外排。</w:t>
                  </w:r>
                </w:p>
              </w:tc>
            </w:tr>
            <w:tr w14:paraId="29534015">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4C9BB2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1061" w:type="pct"/>
                  <w:gridSpan w:val="2"/>
                  <w:vAlign w:val="center"/>
                </w:tcPr>
                <w:p w14:paraId="420975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混凝土罐车、水稳材料运输车冲洗</w:t>
                  </w:r>
                </w:p>
              </w:tc>
              <w:tc>
                <w:tcPr>
                  <w:tcW w:w="715" w:type="pct"/>
                  <w:vAlign w:val="center"/>
                </w:tcPr>
                <w:p w14:paraId="3D564B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辆·d</w:t>
                  </w:r>
                </w:p>
              </w:tc>
              <w:tc>
                <w:tcPr>
                  <w:tcW w:w="645" w:type="pct"/>
                  <w:vAlign w:val="center"/>
                </w:tcPr>
                <w:p w14:paraId="2FD6AA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25辆</w:t>
                  </w:r>
                </w:p>
              </w:tc>
              <w:tc>
                <w:tcPr>
                  <w:tcW w:w="437" w:type="pct"/>
                  <w:vAlign w:val="center"/>
                </w:tcPr>
                <w:p w14:paraId="19EC68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25</w:t>
                  </w:r>
                </w:p>
              </w:tc>
              <w:tc>
                <w:tcPr>
                  <w:tcW w:w="689" w:type="pct"/>
                  <w:vAlign w:val="center"/>
                </w:tcPr>
                <w:p w14:paraId="18E2AE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0.9</w:t>
                  </w:r>
                </w:p>
              </w:tc>
              <w:tc>
                <w:tcPr>
                  <w:tcW w:w="1189" w:type="pct"/>
                  <w:tcBorders>
                    <w:right w:val="nil"/>
                  </w:tcBorders>
                  <w:vAlign w:val="center"/>
                </w:tcPr>
                <w:p w14:paraId="1C57A2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22.5；砂石分离器→五级沉淀池→回用于降尘，不外排。</w:t>
                  </w:r>
                </w:p>
              </w:tc>
            </w:tr>
            <w:tr w14:paraId="1C832168">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restart"/>
                  <w:vAlign w:val="center"/>
                </w:tcPr>
                <w:p w14:paraId="144531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4</w:t>
                  </w:r>
                </w:p>
              </w:tc>
              <w:tc>
                <w:tcPr>
                  <w:tcW w:w="424" w:type="pct"/>
                  <w:vMerge w:val="restart"/>
                  <w:vAlign w:val="center"/>
                </w:tcPr>
                <w:p w14:paraId="185148D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养护</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/蒸养</w:t>
                  </w:r>
                </w:p>
              </w:tc>
              <w:tc>
                <w:tcPr>
                  <w:tcW w:w="636" w:type="pct"/>
                  <w:vAlign w:val="center"/>
                </w:tcPr>
                <w:p w14:paraId="253B33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春夏秋</w:t>
                  </w:r>
                </w:p>
                <w:p w14:paraId="1F98510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250d</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15" w:type="pct"/>
                  <w:vAlign w:val="center"/>
                </w:tcPr>
                <w:p w14:paraId="6E4D31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/d</w:t>
                  </w:r>
                </w:p>
              </w:tc>
              <w:tc>
                <w:tcPr>
                  <w:tcW w:w="645" w:type="pct"/>
                  <w:vAlign w:val="center"/>
                </w:tcPr>
                <w:p w14:paraId="5B36DF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437" w:type="pct"/>
                  <w:vAlign w:val="center"/>
                </w:tcPr>
                <w:p w14:paraId="267B93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p>
              </w:tc>
              <w:tc>
                <w:tcPr>
                  <w:tcW w:w="689" w:type="pct"/>
                  <w:vAlign w:val="center"/>
                </w:tcPr>
                <w:p w14:paraId="0D4F08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冷凝水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产污系数0.</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1189" w:type="pct"/>
                  <w:tcBorders>
                    <w:right w:val="nil"/>
                  </w:tcBorders>
                  <w:vAlign w:val="center"/>
                </w:tcPr>
                <w:p w14:paraId="2D9D23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冷凝水1.5；沉淀池→回用于降尘，不外排。</w:t>
                  </w:r>
                </w:p>
              </w:tc>
            </w:tr>
            <w:tr w14:paraId="0EA72CE3">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continue"/>
                  <w:vAlign w:val="center"/>
                </w:tcPr>
                <w:p w14:paraId="499747C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424" w:type="pct"/>
                  <w:vMerge w:val="continue"/>
                  <w:vAlign w:val="center"/>
                </w:tcPr>
                <w:p w14:paraId="1D0ABD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36" w:type="pct"/>
                  <w:vAlign w:val="center"/>
                </w:tcPr>
                <w:p w14:paraId="4A8726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冬</w:t>
                  </w:r>
                </w:p>
                <w:p w14:paraId="20D8D8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100d</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715" w:type="pct"/>
                  <w:vAlign w:val="center"/>
                </w:tcPr>
                <w:p w14:paraId="6A9BDD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/d</w:t>
                  </w:r>
                </w:p>
              </w:tc>
              <w:tc>
                <w:tcPr>
                  <w:tcW w:w="645" w:type="pct"/>
                  <w:vAlign w:val="center"/>
                </w:tcPr>
                <w:p w14:paraId="436452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437" w:type="pct"/>
                  <w:vAlign w:val="center"/>
                </w:tcPr>
                <w:p w14:paraId="761956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c>
                <w:tcPr>
                  <w:tcW w:w="689" w:type="pct"/>
                  <w:vAlign w:val="center"/>
                </w:tcPr>
                <w:p w14:paraId="25DF95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纯水制备率</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75%，</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冷凝水</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产污系数0.1</w:t>
                  </w:r>
                </w:p>
              </w:tc>
              <w:tc>
                <w:tcPr>
                  <w:tcW w:w="1189" w:type="pct"/>
                  <w:tcBorders>
                    <w:right w:val="nil"/>
                  </w:tcBorders>
                  <w:vAlign w:val="center"/>
                </w:tcPr>
                <w:p w14:paraId="69CB14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浓水</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5；冷凝水1.5。沉淀池→回用于降尘，不外排。</w:t>
                  </w:r>
                </w:p>
              </w:tc>
            </w:tr>
            <w:tr w14:paraId="1CFEA7B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3C4D52D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w:t>
                  </w:r>
                </w:p>
              </w:tc>
              <w:tc>
                <w:tcPr>
                  <w:tcW w:w="1061" w:type="pct"/>
                  <w:gridSpan w:val="2"/>
                  <w:vAlign w:val="center"/>
                </w:tcPr>
                <w:p w14:paraId="2DB1DF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破碎加工用水</w:t>
                  </w:r>
                </w:p>
              </w:tc>
              <w:tc>
                <w:tcPr>
                  <w:tcW w:w="715" w:type="pct"/>
                  <w:vAlign w:val="center"/>
                </w:tcPr>
                <w:p w14:paraId="26D349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h</w:t>
                  </w:r>
                </w:p>
              </w:tc>
              <w:tc>
                <w:tcPr>
                  <w:tcW w:w="645" w:type="pct"/>
                  <w:vAlign w:val="center"/>
                </w:tcPr>
                <w:p w14:paraId="471BD1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10h</w:t>
                  </w:r>
                </w:p>
              </w:tc>
              <w:tc>
                <w:tcPr>
                  <w:tcW w:w="437" w:type="pct"/>
                  <w:vAlign w:val="center"/>
                </w:tcPr>
                <w:p w14:paraId="0C6B5E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50</w:t>
                  </w:r>
                </w:p>
              </w:tc>
              <w:tc>
                <w:tcPr>
                  <w:tcW w:w="689" w:type="pct"/>
                  <w:vAlign w:val="center"/>
                </w:tcPr>
                <w:p w14:paraId="7DFA67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0.9</w:t>
                  </w:r>
                </w:p>
              </w:tc>
              <w:tc>
                <w:tcPr>
                  <w:tcW w:w="1189" w:type="pct"/>
                  <w:tcBorders>
                    <w:right w:val="nil"/>
                  </w:tcBorders>
                  <w:vAlign w:val="center"/>
                </w:tcPr>
                <w:p w14:paraId="27F4F1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45；砂石分离器→五级沉淀池→回用于降尘，不外排。</w:t>
                  </w:r>
                </w:p>
              </w:tc>
            </w:tr>
            <w:tr w14:paraId="443F5B25">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01CD0F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6</w:t>
                  </w:r>
                </w:p>
              </w:tc>
              <w:tc>
                <w:tcPr>
                  <w:tcW w:w="1061" w:type="pct"/>
                  <w:gridSpan w:val="2"/>
                  <w:vAlign w:val="center"/>
                </w:tcPr>
                <w:p w14:paraId="48A423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运输车辆冲洗</w:t>
                  </w:r>
                </w:p>
              </w:tc>
              <w:tc>
                <w:tcPr>
                  <w:tcW w:w="715" w:type="pct"/>
                  <w:vAlign w:val="center"/>
                </w:tcPr>
                <w:p w14:paraId="308992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100L/（辆·次）</w:t>
                  </w:r>
                </w:p>
              </w:tc>
              <w:tc>
                <w:tcPr>
                  <w:tcW w:w="645" w:type="pct"/>
                  <w:vAlign w:val="center"/>
                </w:tcPr>
                <w:p w14:paraId="518875B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260</w:t>
                  </w:r>
                  <w:r>
                    <w:rPr>
                      <w:rFonts w:hint="default" w:ascii="Times New Roman" w:hAnsi="Times New Roman" w:eastAsia="宋体" w:cs="Times New Roman"/>
                      <w:color w:val="000000" w:themeColor="text1"/>
                      <w:sz w:val="21"/>
                      <w:szCs w:val="21"/>
                      <w:highlight w:val="none"/>
                      <w14:textFill>
                        <w14:solidFill>
                          <w14:schemeClr w14:val="tx1"/>
                        </w14:solidFill>
                      </w14:textFill>
                    </w:rPr>
                    <w:t>辆·次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0"/>
                      <w:highlight w:val="none"/>
                      <w:lang w:val="en-US" w:eastAsia="zh-CN"/>
                      <w14:textFill>
                        <w14:solidFill>
                          <w14:schemeClr w14:val="tx1"/>
                        </w14:solidFill>
                      </w14:textFill>
                    </w:rPr>
                    <w:t>d</w:t>
                  </w:r>
                </w:p>
              </w:tc>
              <w:tc>
                <w:tcPr>
                  <w:tcW w:w="437" w:type="pct"/>
                  <w:vAlign w:val="center"/>
                </w:tcPr>
                <w:p w14:paraId="0916ED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26</w:t>
                  </w:r>
                </w:p>
              </w:tc>
              <w:tc>
                <w:tcPr>
                  <w:tcW w:w="689" w:type="pct"/>
                  <w:vAlign w:val="center"/>
                </w:tcPr>
                <w:p w14:paraId="59BC12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0.9</w:t>
                  </w:r>
                </w:p>
              </w:tc>
              <w:tc>
                <w:tcPr>
                  <w:tcW w:w="1189" w:type="pct"/>
                  <w:tcBorders>
                    <w:right w:val="nil"/>
                  </w:tcBorders>
                  <w:vAlign w:val="center"/>
                </w:tcPr>
                <w:p w14:paraId="63236A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23.4；车辆冲洗池→回用于车辆冲洗，不外排。</w:t>
                  </w:r>
                </w:p>
              </w:tc>
            </w:tr>
            <w:tr w14:paraId="4F2A38B0">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Align w:val="center"/>
                </w:tcPr>
                <w:p w14:paraId="3740301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7</w:t>
                  </w:r>
                </w:p>
              </w:tc>
              <w:tc>
                <w:tcPr>
                  <w:tcW w:w="1061" w:type="pct"/>
                  <w:gridSpan w:val="2"/>
                  <w:vAlign w:val="center"/>
                </w:tcPr>
                <w:p w14:paraId="720CA8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地坪冲洗</w:t>
                  </w:r>
                </w:p>
              </w:tc>
              <w:tc>
                <w:tcPr>
                  <w:tcW w:w="715" w:type="pct"/>
                  <w:vAlign w:val="center"/>
                </w:tcPr>
                <w:p w14:paraId="128D47E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2L/m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·d</w:t>
                  </w:r>
                </w:p>
              </w:tc>
              <w:tc>
                <w:tcPr>
                  <w:tcW w:w="645" w:type="pct"/>
                  <w:vAlign w:val="center"/>
                </w:tcPr>
                <w:p w14:paraId="717D00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000</w:t>
                  </w:r>
                </w:p>
              </w:tc>
              <w:tc>
                <w:tcPr>
                  <w:tcW w:w="437" w:type="pct"/>
                  <w:vAlign w:val="center"/>
                </w:tcPr>
                <w:p w14:paraId="4C9BF2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w:t>
                  </w:r>
                </w:p>
              </w:tc>
              <w:tc>
                <w:tcPr>
                  <w:tcW w:w="689" w:type="pct"/>
                  <w:vAlign w:val="center"/>
                </w:tcPr>
                <w:p w14:paraId="45E0A1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0.8</w:t>
                  </w:r>
                </w:p>
              </w:tc>
              <w:tc>
                <w:tcPr>
                  <w:tcW w:w="1189" w:type="pct"/>
                  <w:tcBorders>
                    <w:right w:val="nil"/>
                  </w:tcBorders>
                  <w:vAlign w:val="center"/>
                </w:tcPr>
                <w:p w14:paraId="46A410A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4.8；砂石分离器→五级沉淀池→回用于降尘，不外排。</w:t>
                  </w:r>
                </w:p>
              </w:tc>
            </w:tr>
            <w:tr w14:paraId="6C3E1FAE">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restart"/>
                  <w:vAlign w:val="center"/>
                </w:tcPr>
                <w:p w14:paraId="24FE6E4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8</w:t>
                  </w:r>
                </w:p>
              </w:tc>
              <w:tc>
                <w:tcPr>
                  <w:tcW w:w="424" w:type="pct"/>
                  <w:vMerge w:val="restart"/>
                  <w:vAlign w:val="center"/>
                </w:tcPr>
                <w:p w14:paraId="74F529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降尘用水</w:t>
                  </w:r>
                </w:p>
              </w:tc>
              <w:tc>
                <w:tcPr>
                  <w:tcW w:w="636" w:type="pct"/>
                  <w:vAlign w:val="center"/>
                </w:tcPr>
                <w:p w14:paraId="6521FB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喷雾装置</w:t>
                  </w:r>
                </w:p>
              </w:tc>
              <w:tc>
                <w:tcPr>
                  <w:tcW w:w="715" w:type="pct"/>
                  <w:vAlign w:val="center"/>
                </w:tcPr>
                <w:p w14:paraId="215D13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喷雾点</w:t>
                  </w:r>
                </w:p>
              </w:tc>
              <w:tc>
                <w:tcPr>
                  <w:tcW w:w="645" w:type="pct"/>
                  <w:vAlign w:val="center"/>
                </w:tcPr>
                <w:p w14:paraId="2039E5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76</w:t>
                  </w:r>
                </w:p>
              </w:tc>
              <w:tc>
                <w:tcPr>
                  <w:tcW w:w="437" w:type="pct"/>
                  <w:vAlign w:val="center"/>
                </w:tcPr>
                <w:p w14:paraId="625406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15.2</w:t>
                  </w:r>
                </w:p>
              </w:tc>
              <w:tc>
                <w:tcPr>
                  <w:tcW w:w="689" w:type="pct"/>
                  <w:vAlign w:val="center"/>
                </w:tcPr>
                <w:p w14:paraId="5C0B33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011FEB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全部蒸发损失</w:t>
                  </w:r>
                </w:p>
              </w:tc>
            </w:tr>
            <w:tr w14:paraId="32B0284A">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continue"/>
                  <w:vAlign w:val="center"/>
                </w:tcPr>
                <w:p w14:paraId="710EE0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424" w:type="pct"/>
                  <w:vMerge w:val="continue"/>
                  <w:vAlign w:val="center"/>
                </w:tcPr>
                <w:p w14:paraId="0E2BB31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36" w:type="pct"/>
                  <w:vAlign w:val="center"/>
                </w:tcPr>
                <w:p w14:paraId="74539E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雾炮机</w:t>
                  </w:r>
                </w:p>
              </w:tc>
              <w:tc>
                <w:tcPr>
                  <w:tcW w:w="715" w:type="pct"/>
                  <w:vAlign w:val="center"/>
                </w:tcPr>
                <w:p w14:paraId="078CC89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台</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h</w:t>
                  </w:r>
                </w:p>
              </w:tc>
              <w:tc>
                <w:tcPr>
                  <w:tcW w:w="645" w:type="pct"/>
                  <w:vAlign w:val="center"/>
                </w:tcPr>
                <w:p w14:paraId="54C76B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3台；2h</w:t>
                  </w:r>
                </w:p>
              </w:tc>
              <w:tc>
                <w:tcPr>
                  <w:tcW w:w="437" w:type="pct"/>
                  <w:vAlign w:val="center"/>
                </w:tcPr>
                <w:p w14:paraId="4F174B1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689" w:type="pct"/>
                  <w:vAlign w:val="center"/>
                </w:tcPr>
                <w:p w14:paraId="177034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23BD16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全部蒸发损失</w:t>
                  </w:r>
                </w:p>
              </w:tc>
            </w:tr>
            <w:tr w14:paraId="2F7DBD14">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continue"/>
                  <w:vAlign w:val="center"/>
                </w:tcPr>
                <w:p w14:paraId="751474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424" w:type="pct"/>
                  <w:vMerge w:val="continue"/>
                  <w:vAlign w:val="center"/>
                </w:tcPr>
                <w:p w14:paraId="236373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36" w:type="pct"/>
                  <w:vAlign w:val="center"/>
                </w:tcPr>
                <w:p w14:paraId="477A24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洒水车</w:t>
                  </w:r>
                </w:p>
              </w:tc>
              <w:tc>
                <w:tcPr>
                  <w:tcW w:w="715" w:type="pct"/>
                  <w:vAlign w:val="center"/>
                </w:tcPr>
                <w:p w14:paraId="42DCB0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/辆·d</w:t>
                  </w:r>
                </w:p>
              </w:tc>
              <w:tc>
                <w:tcPr>
                  <w:tcW w:w="645" w:type="pct"/>
                  <w:vAlign w:val="center"/>
                </w:tcPr>
                <w:p w14:paraId="6CCCEA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1"/>
                      <w:szCs w:val="21"/>
                      <w:highlight w:val="none"/>
                      <w14:textFill>
                        <w14:solidFill>
                          <w14:schemeClr w14:val="tx1"/>
                        </w14:solidFill>
                      </w14:textFill>
                    </w:rPr>
                    <w:t>辆</w:t>
                  </w:r>
                </w:p>
              </w:tc>
              <w:tc>
                <w:tcPr>
                  <w:tcW w:w="437" w:type="pct"/>
                  <w:vAlign w:val="center"/>
                </w:tcPr>
                <w:p w14:paraId="644FCD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689" w:type="pct"/>
                  <w:vAlign w:val="center"/>
                </w:tcPr>
                <w:p w14:paraId="32E8DA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1FFF3A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全部蒸发损失</w:t>
                  </w:r>
                </w:p>
              </w:tc>
            </w:tr>
            <w:tr w14:paraId="5B690298">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restart"/>
                  <w:vAlign w:val="center"/>
                </w:tcPr>
                <w:p w14:paraId="2F6A2A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9</w:t>
                  </w:r>
                </w:p>
              </w:tc>
              <w:tc>
                <w:tcPr>
                  <w:tcW w:w="1061" w:type="pct"/>
                  <w:gridSpan w:val="2"/>
                  <w:vAlign w:val="center"/>
                </w:tcPr>
                <w:p w14:paraId="14CD1DE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生活用水</w:t>
                  </w:r>
                </w:p>
              </w:tc>
              <w:tc>
                <w:tcPr>
                  <w:tcW w:w="715" w:type="pct"/>
                  <w:vAlign w:val="center"/>
                </w:tcPr>
                <w:p w14:paraId="237C9A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1"/>
                      <w:szCs w:val="21"/>
                      <w:highlight w:val="none"/>
                      <w14:textFill>
                        <w14:solidFill>
                          <w14:schemeClr w14:val="tx1"/>
                        </w14:solidFill>
                      </w14:textFill>
                    </w:rPr>
                    <w:t>L/人·d</w:t>
                  </w:r>
                </w:p>
              </w:tc>
              <w:tc>
                <w:tcPr>
                  <w:tcW w:w="645" w:type="pct"/>
                  <w:vAlign w:val="center"/>
                </w:tcPr>
                <w:p w14:paraId="79795B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160</w:t>
                  </w:r>
                </w:p>
              </w:tc>
              <w:tc>
                <w:tcPr>
                  <w:tcW w:w="437" w:type="pct"/>
                  <w:vAlign w:val="center"/>
                </w:tcPr>
                <w:p w14:paraId="1F4091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9.6</w:t>
                  </w:r>
                </w:p>
              </w:tc>
              <w:tc>
                <w:tcPr>
                  <w:tcW w:w="689" w:type="pct"/>
                  <w:vAlign w:val="center"/>
                </w:tcPr>
                <w:p w14:paraId="5EE770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0.8</w:t>
                  </w:r>
                </w:p>
              </w:tc>
              <w:tc>
                <w:tcPr>
                  <w:tcW w:w="1189" w:type="pct"/>
                  <w:tcBorders>
                    <w:right w:val="nil"/>
                  </w:tcBorders>
                  <w:vAlign w:val="center"/>
                </w:tcPr>
                <w:p w14:paraId="669E4F9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7.68；化粪池→宝梵污水处理厂</w:t>
                  </w:r>
                </w:p>
              </w:tc>
            </w:tr>
            <w:tr w14:paraId="70B88641">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1" w:type="pct"/>
                  <w:vMerge w:val="continue"/>
                  <w:vAlign w:val="center"/>
                </w:tcPr>
                <w:p w14:paraId="7B3F1E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061" w:type="pct"/>
                  <w:gridSpan w:val="2"/>
                  <w:vAlign w:val="center"/>
                </w:tcPr>
                <w:p w14:paraId="09D18F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餐饮用水</w:t>
                  </w:r>
                </w:p>
              </w:tc>
              <w:tc>
                <w:tcPr>
                  <w:tcW w:w="715" w:type="pct"/>
                  <w:vAlign w:val="center"/>
                </w:tcPr>
                <w:p w14:paraId="49CA5F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1"/>
                      <w:szCs w:val="21"/>
                      <w:highlight w:val="none"/>
                      <w14:textFill>
                        <w14:solidFill>
                          <w14:schemeClr w14:val="tx1"/>
                        </w14:solidFill>
                      </w14:textFill>
                    </w:rPr>
                    <w:t>L/人·d</w:t>
                  </w:r>
                </w:p>
              </w:tc>
              <w:tc>
                <w:tcPr>
                  <w:tcW w:w="645" w:type="pct"/>
                  <w:vAlign w:val="center"/>
                </w:tcPr>
                <w:p w14:paraId="248091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160</w:t>
                  </w:r>
                </w:p>
              </w:tc>
              <w:tc>
                <w:tcPr>
                  <w:tcW w:w="437" w:type="pct"/>
                  <w:vAlign w:val="center"/>
                </w:tcPr>
                <w:p w14:paraId="008AEC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4.8</w:t>
                  </w:r>
                </w:p>
              </w:tc>
              <w:tc>
                <w:tcPr>
                  <w:tcW w:w="689" w:type="pct"/>
                  <w:vAlign w:val="center"/>
                </w:tcPr>
                <w:p w14:paraId="035130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0.8</w:t>
                  </w:r>
                </w:p>
              </w:tc>
              <w:tc>
                <w:tcPr>
                  <w:tcW w:w="1189" w:type="pct"/>
                  <w:tcBorders>
                    <w:right w:val="nil"/>
                  </w:tcBorders>
                  <w:vAlign w:val="center"/>
                </w:tcPr>
                <w:p w14:paraId="60160B0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3.84；油水分离器→化粪池→宝梵污水处理厂</w:t>
                  </w:r>
                </w:p>
              </w:tc>
            </w:tr>
            <w:tr w14:paraId="04239FDF">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83" w:type="pct"/>
                  <w:gridSpan w:val="5"/>
                  <w:vAlign w:val="center"/>
                </w:tcPr>
                <w:p w14:paraId="0B6E83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合计</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（除冬季外）</w:t>
                  </w:r>
                </w:p>
              </w:tc>
              <w:tc>
                <w:tcPr>
                  <w:tcW w:w="437" w:type="pct"/>
                  <w:vAlign w:val="center"/>
                </w:tcPr>
                <w:p w14:paraId="703F8C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315</w:t>
                  </w:r>
                </w:p>
              </w:tc>
              <w:tc>
                <w:tcPr>
                  <w:tcW w:w="689" w:type="pct"/>
                  <w:vAlign w:val="center"/>
                </w:tcPr>
                <w:p w14:paraId="7BC963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right w:val="nil"/>
                  </w:tcBorders>
                  <w:vAlign w:val="center"/>
                </w:tcPr>
                <w:p w14:paraId="4D56E8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11.52</w:t>
                  </w:r>
                </w:p>
              </w:tc>
            </w:tr>
            <w:tr w14:paraId="3D50A107">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83" w:type="pct"/>
                  <w:gridSpan w:val="5"/>
                  <w:tcBorders>
                    <w:bottom w:val="single" w:color="auto" w:sz="12" w:space="0"/>
                  </w:tcBorders>
                  <w:vAlign w:val="center"/>
                </w:tcPr>
                <w:p w14:paraId="53C039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合计</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（冬季）</w:t>
                  </w:r>
                </w:p>
              </w:tc>
              <w:tc>
                <w:tcPr>
                  <w:tcW w:w="437" w:type="pct"/>
                  <w:tcBorders>
                    <w:bottom w:val="single" w:color="auto" w:sz="12" w:space="0"/>
                  </w:tcBorders>
                  <w:vAlign w:val="center"/>
                </w:tcPr>
                <w:p w14:paraId="0D3C13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320</w:t>
                  </w:r>
                </w:p>
              </w:tc>
              <w:tc>
                <w:tcPr>
                  <w:tcW w:w="689" w:type="pct"/>
                  <w:tcBorders>
                    <w:bottom w:val="single" w:color="auto" w:sz="12" w:space="0"/>
                  </w:tcBorders>
                  <w:vAlign w:val="center"/>
                </w:tcPr>
                <w:p w14:paraId="5F1000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t>
                  </w:r>
                </w:p>
              </w:tc>
              <w:tc>
                <w:tcPr>
                  <w:tcW w:w="1189" w:type="pct"/>
                  <w:tcBorders>
                    <w:bottom w:val="single" w:color="auto" w:sz="12" w:space="0"/>
                    <w:right w:val="nil"/>
                  </w:tcBorders>
                  <w:vAlign w:val="center"/>
                </w:tcPr>
                <w:p w14:paraId="3BB160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11.52</w:t>
                  </w:r>
                </w:p>
              </w:tc>
            </w:tr>
          </w:tbl>
          <w:p w14:paraId="20706C16">
            <w:pPr>
              <w:spacing w:line="500" w:lineRule="exact"/>
              <w:ind w:firstLine="482" w:firstLineChars="200"/>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项目水平衡图：</w:t>
            </w:r>
          </w:p>
          <w:p w14:paraId="4C618D6A">
            <w:pPr>
              <w:jc w:val="center"/>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object>
                <v:shape id="_x0000_i1026" o:spt="75" type="#_x0000_t75" style="height:324.7pt;width:402pt;" o:ole="t" filled="f" o:preferrelative="t" stroked="f" coordsize="21600,21600">
                  <v:path/>
                  <v:fill on="f" focussize="0,0"/>
                  <v:stroke on="f"/>
                  <v:imagedata r:id="rId13" o:title=""/>
                  <o:lock v:ext="edit" aspectratio="f"/>
                  <w10:wrap type="none"/>
                  <w10:anchorlock/>
                </v:shape>
                <o:OLEObject Type="Embed" ProgID="Visio.Drawing.15" ShapeID="_x0000_i1026" DrawAspect="Content" ObjectID="_1468075726" r:id="rId12">
                  <o:LockedField>false</o:LockedField>
                </o:OLEObject>
              </w:object>
            </w:r>
            <w:r>
              <w:rPr>
                <w:color w:val="000000" w:themeColor="text1"/>
                <w:highlight w:val="none"/>
                <w14:textFill>
                  <w14:solidFill>
                    <w14:schemeClr w14:val="tx1"/>
                  </w14:solidFill>
                </w14:textFill>
              </w:rPr>
              <w:drawing>
                <wp:inline distT="0" distB="0" distL="114300" distR="114300">
                  <wp:extent cx="5101590" cy="1395095"/>
                  <wp:effectExtent l="0" t="0" r="3810" b="14605"/>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pic:cNvPicPr>
                            <a:picLocks noChangeAspect="1"/>
                          </pic:cNvPicPr>
                        </pic:nvPicPr>
                        <pic:blipFill>
                          <a:blip r:embed="rId14"/>
                          <a:stretch>
                            <a:fillRect/>
                          </a:stretch>
                        </pic:blipFill>
                        <pic:spPr>
                          <a:xfrm>
                            <a:off x="0" y="0"/>
                            <a:ext cx="5101590" cy="1395095"/>
                          </a:xfrm>
                          <a:prstGeom prst="rect">
                            <a:avLst/>
                          </a:prstGeom>
                          <a:noFill/>
                          <a:ln>
                            <a:noFill/>
                          </a:ln>
                        </pic:spPr>
                      </pic:pic>
                    </a:graphicData>
                  </a:graphic>
                </wp:inline>
              </w:drawing>
            </w:r>
          </w:p>
          <w:p w14:paraId="3CF64665">
            <w:pPr>
              <w:spacing w:line="360" w:lineRule="exact"/>
              <w:ind w:firstLine="422" w:firstLineChars="200"/>
              <w:jc w:val="center"/>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w:t>
            </w:r>
            <w:r>
              <w:rPr>
                <w:rFonts w:ascii="Times New Roman" w:hAnsi="Times New Roman" w:eastAsia="宋体"/>
                <w:b/>
                <w:bCs/>
                <w:color w:val="000000" w:themeColor="text1"/>
                <w:szCs w:val="21"/>
                <w:highlight w:val="none"/>
                <w14:textFill>
                  <w14:solidFill>
                    <w14:schemeClr w14:val="tx1"/>
                  </w14:solidFill>
                </w14:textFill>
              </w:rPr>
              <w:t>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2</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项目水平衡图</w:t>
            </w:r>
            <w:r>
              <w:rPr>
                <w:rFonts w:hint="eastAsia" w:ascii="Times New Roman" w:hAnsi="Times New Roman" w:eastAsia="宋体"/>
                <w:b/>
                <w:bCs/>
                <w:color w:val="000000" w:themeColor="text1"/>
                <w:szCs w:val="21"/>
                <w:highlight w:val="none"/>
                <w:lang w:eastAsia="zh-CN"/>
                <w14:textFill>
                  <w14:solidFill>
                    <w14:schemeClr w14:val="tx1"/>
                  </w14:solidFill>
                </w14:textFill>
              </w:rPr>
              <w:t>（</w:t>
            </w:r>
            <w:r>
              <w:rPr>
                <w:rFonts w:hint="eastAsia" w:ascii="Times New Roman" w:hAnsi="Times New Roman" w:eastAsia="宋体"/>
                <w:b/>
                <w:bCs/>
                <w:color w:val="000000" w:themeColor="text1"/>
                <w:szCs w:val="21"/>
                <w:highlight w:val="none"/>
                <w14:textFill>
                  <w14:solidFill>
                    <w14:schemeClr w14:val="tx1"/>
                  </w14:solidFill>
                </w14:textFill>
              </w:rPr>
              <w:t>单位：m</w:t>
            </w:r>
            <w:r>
              <w:rPr>
                <w:rFonts w:hint="eastAsia" w:ascii="Times New Roman" w:hAnsi="Times New Roman" w:eastAsia="宋体"/>
                <w:b/>
                <w:bCs/>
                <w:color w:val="000000" w:themeColor="text1"/>
                <w:szCs w:val="21"/>
                <w:highlight w:val="none"/>
                <w:vertAlign w:val="superscript"/>
                <w14:textFill>
                  <w14:solidFill>
                    <w14:schemeClr w14:val="tx1"/>
                  </w14:solidFill>
                </w14:textFill>
              </w:rPr>
              <w:t>3</w:t>
            </w:r>
            <w:r>
              <w:rPr>
                <w:rFonts w:hint="eastAsia" w:ascii="Times New Roman" w:hAnsi="Times New Roman" w:eastAsia="宋体"/>
                <w:b/>
                <w:bCs/>
                <w:color w:val="000000" w:themeColor="text1"/>
                <w:szCs w:val="21"/>
                <w:highlight w:val="none"/>
                <w14:textFill>
                  <w14:solidFill>
                    <w14:schemeClr w14:val="tx1"/>
                  </w14:solidFill>
                </w14:textFill>
              </w:rPr>
              <w:t>/d</w:t>
            </w:r>
            <w:r>
              <w:rPr>
                <w:rFonts w:hint="eastAsia" w:ascii="Times New Roman" w:hAnsi="Times New Roman" w:eastAsia="宋体"/>
                <w:b/>
                <w:bCs/>
                <w:color w:val="000000" w:themeColor="text1"/>
                <w:szCs w:val="21"/>
                <w:highlight w:val="none"/>
                <w:lang w:eastAsia="zh-CN"/>
                <w14:textFill>
                  <w14:solidFill>
                    <w14:schemeClr w14:val="tx1"/>
                  </w14:solidFill>
                </w14:textFill>
              </w:rPr>
              <w:t>）</w:t>
            </w:r>
          </w:p>
          <w:p w14:paraId="53DDC858">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default"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4、供热</w:t>
            </w:r>
          </w:p>
          <w:p w14:paraId="7F89749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项目生产过程中，冬季养护采用蒸养方式，蒸养工序所需温度为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20~30</w:t>
            </w:r>
            <w:r>
              <w:rPr>
                <w:rFonts w:hint="eastAsia" w:ascii="Times New Roman" w:hAnsi="Times New Roman" w:eastAsia="宋体"/>
                <w:color w:val="000000" w:themeColor="text1"/>
                <w:sz w:val="24"/>
                <w:szCs w:val="21"/>
                <w:highlight w:val="none"/>
                <w:lang w:eastAsia="zh-CN"/>
                <w14:textFill>
                  <w14:solidFill>
                    <w14:schemeClr w14:val="tx1"/>
                  </w14:solidFill>
                </w14:textFill>
              </w:rPr>
              <w:t>℃左右，蒸汽由电加热蒸汽发生器提供。项目蒸汽平衡见下图</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2-3</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p>
          <w:p w14:paraId="02F1EAC1">
            <w:pPr>
              <w:spacing w:line="240" w:lineRule="auto"/>
              <w:jc w:val="center"/>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object>
                <v:shape id="_x0000_i1027" o:spt="75" type="#_x0000_t75" style="height:79.8pt;width:282.25pt;" o:ole="t" filled="f" o:preferrelative="t" stroked="f" coordsize="21600,21600">
                  <v:path/>
                  <v:fill on="f" focussize="0,0"/>
                  <v:stroke on="f"/>
                  <v:imagedata r:id="rId16" o:title=""/>
                  <o:lock v:ext="edit" aspectratio="f"/>
                  <w10:wrap type="none"/>
                  <w10:anchorlock/>
                </v:shape>
                <o:OLEObject Type="Embed" ProgID="Visio.Drawing.11" ShapeID="_x0000_i1027" DrawAspect="Content" ObjectID="_1468075727" r:id="rId15">
                  <o:LockedField>false</o:LockedField>
                </o:OLEObject>
              </w:object>
            </w:r>
          </w:p>
          <w:p w14:paraId="55F0EEA1">
            <w:pPr>
              <w:spacing w:line="360" w:lineRule="exact"/>
              <w:ind w:firstLine="422" w:firstLineChars="200"/>
              <w:jc w:val="center"/>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w:t>
            </w:r>
            <w:r>
              <w:rPr>
                <w:rFonts w:ascii="Times New Roman" w:hAnsi="Times New Roman" w:eastAsia="宋体"/>
                <w:b/>
                <w:bCs/>
                <w:color w:val="000000" w:themeColor="text1"/>
                <w:szCs w:val="21"/>
                <w:highlight w:val="none"/>
                <w14:textFill>
                  <w14:solidFill>
                    <w14:schemeClr w14:val="tx1"/>
                  </w14:solidFill>
                </w14:textFill>
              </w:rPr>
              <w:t>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3</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eastAsia="zh-CN"/>
                <w14:textFill>
                  <w14:solidFill>
                    <w14:schemeClr w14:val="tx1"/>
                  </w14:solidFill>
                </w14:textFill>
              </w:rPr>
              <w:t>蒸汽</w:t>
            </w:r>
            <w:r>
              <w:rPr>
                <w:rFonts w:hint="eastAsia" w:ascii="Times New Roman" w:hAnsi="Times New Roman" w:eastAsia="宋体"/>
                <w:b/>
                <w:bCs/>
                <w:color w:val="000000" w:themeColor="text1"/>
                <w:szCs w:val="21"/>
                <w:highlight w:val="none"/>
                <w14:textFill>
                  <w14:solidFill>
                    <w14:schemeClr w14:val="tx1"/>
                  </w14:solidFill>
                </w14:textFill>
              </w:rPr>
              <w:t>平衡图</w:t>
            </w:r>
            <w:r>
              <w:rPr>
                <w:rFonts w:hint="eastAsia" w:ascii="Times New Roman" w:hAnsi="Times New Roman" w:eastAsia="宋体"/>
                <w:b/>
                <w:bCs/>
                <w:color w:val="000000" w:themeColor="text1"/>
                <w:szCs w:val="21"/>
                <w:highlight w:val="none"/>
                <w:lang w:eastAsia="zh-CN"/>
                <w14:textFill>
                  <w14:solidFill>
                    <w14:schemeClr w14:val="tx1"/>
                  </w14:solidFill>
                </w14:textFill>
              </w:rPr>
              <w:t>（</w:t>
            </w:r>
            <w:r>
              <w:rPr>
                <w:rFonts w:hint="eastAsia" w:ascii="Times New Roman" w:hAnsi="Times New Roman" w:eastAsia="宋体"/>
                <w:b/>
                <w:bCs/>
                <w:color w:val="000000" w:themeColor="text1"/>
                <w:szCs w:val="21"/>
                <w:highlight w:val="none"/>
                <w14:textFill>
                  <w14:solidFill>
                    <w14:schemeClr w14:val="tx1"/>
                  </w14:solidFill>
                </w14:textFill>
              </w:rPr>
              <w:t>单位：m</w:t>
            </w:r>
            <w:r>
              <w:rPr>
                <w:rFonts w:hint="eastAsia" w:ascii="Times New Roman" w:hAnsi="Times New Roman" w:eastAsia="宋体"/>
                <w:b/>
                <w:bCs/>
                <w:color w:val="000000" w:themeColor="text1"/>
                <w:szCs w:val="21"/>
                <w:highlight w:val="none"/>
                <w:vertAlign w:val="superscript"/>
                <w14:textFill>
                  <w14:solidFill>
                    <w14:schemeClr w14:val="tx1"/>
                  </w14:solidFill>
                </w14:textFill>
              </w:rPr>
              <w:t>3</w:t>
            </w:r>
            <w:r>
              <w:rPr>
                <w:rFonts w:hint="eastAsia" w:ascii="Times New Roman" w:hAnsi="Times New Roman" w:eastAsia="宋体"/>
                <w:b/>
                <w:bCs/>
                <w:color w:val="000000" w:themeColor="text1"/>
                <w:szCs w:val="21"/>
                <w:highlight w:val="none"/>
                <w14:textFill>
                  <w14:solidFill>
                    <w14:schemeClr w14:val="tx1"/>
                  </w14:solidFill>
                </w14:textFill>
              </w:rPr>
              <w:t>/d</w:t>
            </w:r>
            <w:r>
              <w:rPr>
                <w:rFonts w:hint="eastAsia" w:ascii="Times New Roman" w:hAnsi="Times New Roman" w:eastAsia="宋体"/>
                <w:b/>
                <w:bCs/>
                <w:color w:val="000000" w:themeColor="text1"/>
                <w:szCs w:val="21"/>
                <w:highlight w:val="none"/>
                <w:lang w:eastAsia="zh-CN"/>
                <w14:textFill>
                  <w14:solidFill>
                    <w14:schemeClr w14:val="tx1"/>
                  </w14:solidFill>
                </w14:textFill>
              </w:rPr>
              <w:t>）</w:t>
            </w:r>
          </w:p>
          <w:p w14:paraId="6A84E3AC">
            <w:pPr>
              <w:spacing w:line="500" w:lineRule="exact"/>
              <w:rPr>
                <w:rFonts w:hint="eastAsia" w:ascii="Times New Roman" w:hAnsi="Times New Roman" w:eastAsia="宋体"/>
                <w:b/>
                <w:bCs/>
                <w:color w:val="000000" w:themeColor="text1"/>
                <w:sz w:val="24"/>
                <w:szCs w:val="21"/>
                <w:highlight w:val="none"/>
                <w:lang w:eastAsia="zh-CN"/>
                <w14:textFill>
                  <w14:solidFill>
                    <w14:schemeClr w14:val="tx1"/>
                  </w14:solidFill>
                </w14:textFill>
              </w:rPr>
            </w:pPr>
            <w:r>
              <w:rPr>
                <w:rFonts w:hint="eastAsia" w:ascii="Times New Roman" w:hAnsi="Times New Roman" w:eastAsia="宋体"/>
                <w:b/>
                <w:bCs/>
                <w:color w:val="000000" w:themeColor="text1"/>
                <w:sz w:val="24"/>
                <w:szCs w:val="21"/>
                <w:highlight w:val="none"/>
                <w:lang w:eastAsia="zh-CN"/>
                <w14:textFill>
                  <w14:solidFill>
                    <w14:schemeClr w14:val="tx1"/>
                  </w14:solidFill>
                </w14:textFill>
              </w:rPr>
              <w:t>八、总平面布置合理性分析</w:t>
            </w:r>
          </w:p>
          <w:p w14:paraId="21BC9437">
            <w:pPr>
              <w:spacing w:line="500" w:lineRule="exact"/>
              <w:ind w:firstLine="480" w:firstLineChars="200"/>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本项目根据厂区“分区合理、工艺流畅、物流短捷、突出环保与安全”的原则，结合场地的用地条件及生产工艺，综合考虑环保、消防、绿化、劳动卫生等要求，对厂区布置进行了统筹安排。</w:t>
            </w:r>
          </w:p>
          <w:p w14:paraId="2FB24F7D">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项目主要分为五块区域：碎石加工场、水稳站、混凝土拌和站、预制梁场、钢筋加工场，所有生产活动均在密闭厂房内进行。地块从南至北依次为预制梁场、钢筋加工场、拌和站、砂石料仓区域。南侧紧邻成南高速连接线，便于运输；根据工艺流程，砂石加工、水稳站生产、混凝土生产、钢筋加工及预制梁由运输通道链接，流线型生产，方便生产衔接，可有效缩短项目去物料的运输距离，减少运输起尘量。</w:t>
            </w:r>
          </w:p>
          <w:p w14:paraId="112BA0CB">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项目距离最近的敏感点位于南侧</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136m处莲花社区住户</w:t>
            </w:r>
            <w:r>
              <w:rPr>
                <w:rFonts w:hint="eastAsia" w:ascii="Times New Roman" w:hAnsi="Times New Roman" w:eastAsia="宋体"/>
                <w:color w:val="000000" w:themeColor="text1"/>
                <w:sz w:val="24"/>
                <w:szCs w:val="21"/>
                <w:highlight w:val="none"/>
                <w:lang w:eastAsia="zh-CN"/>
                <w14:textFill>
                  <w14:solidFill>
                    <w14:schemeClr w14:val="tx1"/>
                  </w14:solidFill>
                </w14:textFill>
              </w:rPr>
              <w:t>，项目所有生产活动均在密闭厂房内进行，</w:t>
            </w:r>
            <w:r>
              <w:rPr>
                <w:rFonts w:hint="eastAsia" w:eastAsia="宋体"/>
                <w:color w:val="000000" w:themeColor="text1"/>
                <w:kern w:val="2"/>
                <w:sz w:val="24"/>
                <w:szCs w:val="24"/>
                <w:highlight w:val="none"/>
                <w14:textFill>
                  <w14:solidFill>
                    <w14:schemeClr w14:val="tx1"/>
                  </w14:solidFill>
                </w14:textFill>
              </w:rPr>
              <w:t>营运期废气为粉尘，粉尘采取密闭搅拌楼、安装除尘器、封闭料场，增加淋洒设施、加强物料运输和装卸管理、实施文明装卸、加强绿化等措施，平时加强厂区内的清扫工作，并且对厂区道路和堆料场定时洒水，同时建立健全科学的操作规程和制度。</w:t>
            </w:r>
            <w:r>
              <w:rPr>
                <w:rFonts w:hint="eastAsia" w:ascii="Times New Roman" w:hAnsi="Times New Roman" w:eastAsia="宋体"/>
                <w:color w:val="000000" w:themeColor="text1"/>
                <w:sz w:val="24"/>
                <w:szCs w:val="24"/>
                <w:highlight w:val="none"/>
                <w:lang w:eastAsia="zh-CN"/>
                <w14:textFill>
                  <w14:solidFill>
                    <w14:schemeClr w14:val="tx1"/>
                  </w14:solidFill>
                </w14:textFill>
              </w:rPr>
              <w:t>项目在厂区周围设置收集沟，并在厂区低洼处设置沉淀池、隔油沉淀池等，生产废水经处理后回用于洒水降尘或</w:t>
            </w:r>
            <w:r>
              <w:rPr>
                <w:rFonts w:hint="eastAsia" w:eastAsia="宋体"/>
                <w:color w:val="000000" w:themeColor="text1"/>
                <w:sz w:val="24"/>
                <w:szCs w:val="24"/>
                <w:highlight w:val="none"/>
                <w:lang w:eastAsia="zh-CN"/>
                <w14:textFill>
                  <w14:solidFill>
                    <w14:schemeClr w14:val="tx1"/>
                  </w14:solidFill>
                </w14:textFill>
              </w:rPr>
              <w:t>清洁</w:t>
            </w:r>
            <w:r>
              <w:rPr>
                <w:rFonts w:hint="eastAsia" w:ascii="Times New Roman" w:hAnsi="Times New Roman" w:eastAsia="宋体"/>
                <w:color w:val="000000" w:themeColor="text1"/>
                <w:sz w:val="24"/>
                <w:szCs w:val="24"/>
                <w:highlight w:val="none"/>
                <w:lang w:eastAsia="zh-CN"/>
                <w14:textFill>
                  <w14:solidFill>
                    <w14:schemeClr w14:val="tx1"/>
                  </w14:solidFill>
                </w14:textFill>
              </w:rPr>
              <w:t>用水</w:t>
            </w:r>
            <w:r>
              <w:rPr>
                <w:rFonts w:hint="eastAsia" w:eastAsia="宋体"/>
                <w:color w:val="000000" w:themeColor="text1"/>
                <w:sz w:val="24"/>
                <w:szCs w:val="24"/>
                <w:highlight w:val="none"/>
                <w:lang w:eastAsia="zh-CN"/>
                <w14:textFill>
                  <w14:solidFill>
                    <w14:schemeClr w14:val="tx1"/>
                  </w14:solidFill>
                </w14:textFill>
              </w:rPr>
              <w:t>，初期雨水经雨水收集池收集后回用于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洒水降尘或</w:t>
            </w:r>
            <w:r>
              <w:rPr>
                <w:rFonts w:hint="eastAsia" w:eastAsia="宋体"/>
                <w:color w:val="000000" w:themeColor="text1"/>
                <w:sz w:val="24"/>
                <w:szCs w:val="24"/>
                <w:highlight w:val="none"/>
                <w:lang w:eastAsia="zh-CN"/>
                <w14:textFill>
                  <w14:solidFill>
                    <w14:schemeClr w14:val="tx1"/>
                  </w14:solidFill>
                </w14:textFill>
              </w:rPr>
              <w:t>清洁</w:t>
            </w:r>
            <w:r>
              <w:rPr>
                <w:rFonts w:hint="eastAsia" w:ascii="Times New Roman" w:hAnsi="Times New Roman" w:eastAsia="宋体"/>
                <w:color w:val="000000" w:themeColor="text1"/>
                <w:sz w:val="24"/>
                <w:szCs w:val="24"/>
                <w:highlight w:val="none"/>
                <w:lang w:eastAsia="zh-CN"/>
                <w14:textFill>
                  <w14:solidFill>
                    <w14:schemeClr w14:val="tx1"/>
                  </w14:solidFill>
                </w14:textFill>
              </w:rPr>
              <w:t>用水；生活污水</w:t>
            </w:r>
            <w:r>
              <w:rPr>
                <w:rFonts w:hint="eastAsia" w:eastAsia="宋体"/>
                <w:color w:val="000000" w:themeColor="text1"/>
                <w:sz w:val="24"/>
                <w:szCs w:val="24"/>
                <w:highlight w:val="none"/>
                <w:lang w:eastAsia="zh-CN"/>
                <w14:textFill>
                  <w14:solidFill>
                    <w14:schemeClr w14:val="tx1"/>
                  </w14:solidFill>
                </w14:textFill>
              </w:rPr>
              <w:t>排入市政管网进入宝梵</w:t>
            </w:r>
            <w:r>
              <w:rPr>
                <w:rFonts w:hint="eastAsia" w:ascii="Times New Roman" w:hAnsi="Times New Roman" w:eastAsia="宋体"/>
                <w:color w:val="000000" w:themeColor="text1"/>
                <w:sz w:val="24"/>
                <w:szCs w:val="24"/>
                <w:highlight w:val="none"/>
                <w:lang w:eastAsia="zh-CN"/>
                <w14:textFill>
                  <w14:solidFill>
                    <w14:schemeClr w14:val="tx1"/>
                  </w14:solidFill>
                </w14:textFill>
              </w:rPr>
              <w:t>污水处理厂。</w:t>
            </w:r>
            <w:r>
              <w:rPr>
                <w:rFonts w:hint="eastAsia" w:eastAsia="宋体"/>
                <w:color w:val="000000" w:themeColor="text1"/>
                <w:kern w:val="2"/>
                <w:sz w:val="24"/>
                <w:szCs w:val="24"/>
                <w:highlight w:val="none"/>
                <w14:textFill>
                  <w14:solidFill>
                    <w14:schemeClr w14:val="tx1"/>
                  </w14:solidFill>
                </w14:textFill>
              </w:rPr>
              <w:t>营运期噪声通过</w:t>
            </w:r>
            <w:r>
              <w:rPr>
                <w:rFonts w:hint="eastAsia" w:eastAsia="宋体"/>
                <w:color w:val="000000" w:themeColor="text1"/>
                <w:kern w:val="2"/>
                <w:sz w:val="24"/>
                <w:szCs w:val="24"/>
                <w:highlight w:val="none"/>
                <w:lang w:eastAsia="zh-CN"/>
                <w14:textFill>
                  <w14:solidFill>
                    <w14:schemeClr w14:val="tx1"/>
                  </w14:solidFill>
                </w14:textFill>
              </w:rPr>
              <w:t>围墙及厂房隔声、合理布局，高噪声设备远离东南侧居民，高噪声设备设置基础减震，加强运输管理等措施降低对西侧居民的影响。</w:t>
            </w:r>
            <w:r>
              <w:rPr>
                <w:rFonts w:hint="eastAsia" w:ascii="Times New Roman" w:hAnsi="Times New Roman" w:eastAsia="宋体"/>
                <w:color w:val="000000" w:themeColor="text1"/>
                <w:sz w:val="24"/>
                <w:szCs w:val="24"/>
                <w:highlight w:val="none"/>
                <w:lang w:eastAsia="zh-CN"/>
                <w14:textFill>
                  <w14:solidFill>
                    <w14:schemeClr w14:val="tx1"/>
                  </w14:solidFill>
                </w14:textFill>
              </w:rPr>
              <w:t>固体废物分类收集，有效处置，不会造成二次污染。建设单位严格按照相关污染防治措施后，</w:t>
            </w:r>
            <w:r>
              <w:rPr>
                <w:rFonts w:hint="eastAsia" w:eastAsia="宋体"/>
                <w:color w:val="000000" w:themeColor="text1"/>
                <w:kern w:val="2"/>
                <w:sz w:val="24"/>
                <w:szCs w:val="24"/>
                <w:highlight w:val="none"/>
                <w14:textFill>
                  <w14:solidFill>
                    <w14:schemeClr w14:val="tx1"/>
                  </w14:solidFill>
                </w14:textFill>
              </w:rPr>
              <w:t>本项目</w:t>
            </w:r>
            <w:r>
              <w:rPr>
                <w:rFonts w:hint="eastAsia" w:eastAsia="宋体"/>
                <w:color w:val="000000" w:themeColor="text1"/>
                <w:kern w:val="2"/>
                <w:sz w:val="24"/>
                <w:szCs w:val="24"/>
                <w:highlight w:val="none"/>
                <w:lang w:eastAsia="zh-CN"/>
                <w14:textFill>
                  <w14:solidFill>
                    <w14:schemeClr w14:val="tx1"/>
                  </w14:solidFill>
                </w14:textFill>
              </w:rPr>
              <w:t>污染物均能</w:t>
            </w:r>
            <w:r>
              <w:rPr>
                <w:rFonts w:hint="eastAsia" w:eastAsia="宋体"/>
                <w:color w:val="000000" w:themeColor="text1"/>
                <w:kern w:val="2"/>
                <w:sz w:val="24"/>
                <w:szCs w:val="24"/>
                <w:highlight w:val="none"/>
                <w14:textFill>
                  <w14:solidFill>
                    <w14:schemeClr w14:val="tx1"/>
                  </w14:solidFill>
                </w14:textFill>
              </w:rPr>
              <w:t>实现达标排放，对周边敏感目标影响较小。</w:t>
            </w:r>
          </w:p>
          <w:p w14:paraId="6F0702A2">
            <w:pPr>
              <w:spacing w:line="500" w:lineRule="exact"/>
              <w:ind w:firstLine="482"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b/>
                <w:bCs/>
                <w:color w:val="000000" w:themeColor="text1"/>
                <w:sz w:val="24"/>
                <w:szCs w:val="21"/>
                <w:highlight w:val="none"/>
                <w:lang w:eastAsia="zh-CN"/>
                <w14:textFill>
                  <w14:solidFill>
                    <w14:schemeClr w14:val="tx1"/>
                  </w14:solidFill>
                </w14:textFill>
              </w:rPr>
              <w:t>综上分析，本项目总图布置时充分考虑了地形条件和周边环境状况，功能分区明确，工艺流程顺畅，从环境保护角度分析，本项平面布置较为合理，详见附图四。</w:t>
            </w:r>
          </w:p>
        </w:tc>
      </w:tr>
      <w:tr w14:paraId="09C20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pct"/>
            <w:shd w:val="clear" w:color="auto" w:fill="auto"/>
            <w:vAlign w:val="center"/>
          </w:tcPr>
          <w:p w14:paraId="2B9CA3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工艺流程和产排污环节</w:t>
            </w:r>
          </w:p>
        </w:tc>
        <w:tc>
          <w:tcPr>
            <w:tcW w:w="4615" w:type="pct"/>
            <w:shd w:val="clear" w:color="auto" w:fill="auto"/>
            <w:vAlign w:val="center"/>
          </w:tcPr>
          <w:p w14:paraId="76600564">
            <w:pPr>
              <w:spacing w:line="500" w:lineRule="exact"/>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一、施工期工艺流程</w:t>
            </w:r>
          </w:p>
          <w:p w14:paraId="48EC5F9D">
            <w:pPr>
              <w:spacing w:line="500" w:lineRule="exact"/>
              <w:ind w:firstLine="480" w:firstLineChars="200"/>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建设</w:t>
            </w:r>
            <w:r>
              <w:rPr>
                <w:rFonts w:ascii="Times New Roman" w:hAnsi="Times New Roman" w:eastAsia="宋体"/>
                <w:color w:val="000000" w:themeColor="text1"/>
                <w:sz w:val="24"/>
                <w:szCs w:val="21"/>
                <w:highlight w:val="none"/>
                <w14:textFill>
                  <w14:solidFill>
                    <w14:schemeClr w14:val="tx1"/>
                  </w14:solidFill>
                </w14:textFill>
              </w:rPr>
              <w:t>工程施工期间对场地平整、主体工程、设备安装、工程验收等建设工序将产生噪声、扬尘、固体废物、少量污水和废气等污染物。</w:t>
            </w:r>
          </w:p>
          <w:p w14:paraId="125B00D5">
            <w:pPr>
              <w:jc w:val="center"/>
              <w:rPr>
                <w:rFonts w:ascii="Times New Roman" w:hAnsi="Times New Roman" w:eastAsia="宋体"/>
                <w:color w:val="000000" w:themeColor="text1"/>
                <w:sz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4972685" cy="932815"/>
                  <wp:effectExtent l="0" t="0" r="18415" b="6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7"/>
                          <a:srcRect t="4787" b="28240"/>
                          <a:stretch>
                            <a:fillRect/>
                          </a:stretch>
                        </pic:blipFill>
                        <pic:spPr>
                          <a:xfrm>
                            <a:off x="0" y="0"/>
                            <a:ext cx="4972685" cy="932815"/>
                          </a:xfrm>
                          <a:prstGeom prst="rect">
                            <a:avLst/>
                          </a:prstGeom>
                          <a:noFill/>
                          <a:ln>
                            <a:noFill/>
                          </a:ln>
                        </pic:spPr>
                      </pic:pic>
                    </a:graphicData>
                  </a:graphic>
                </wp:inline>
              </w:drawing>
            </w:r>
          </w:p>
          <w:p w14:paraId="57C78DD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4</w:t>
            </w:r>
            <w:r>
              <w:rPr>
                <w:rFonts w:hint="eastAsia" w:ascii="Times New Roman" w:hAnsi="Times New Roman" w:eastAsia="宋体"/>
                <w:b/>
                <w:bCs/>
                <w:color w:val="000000" w:themeColor="text1"/>
                <w:szCs w:val="21"/>
                <w:highlight w:val="none"/>
                <w14:textFill>
                  <w14:solidFill>
                    <w14:schemeClr w14:val="tx1"/>
                  </w14:solidFill>
                </w14:textFill>
              </w:rPr>
              <w:t xml:space="preserve">    施工期工艺流程</w:t>
            </w:r>
          </w:p>
          <w:p w14:paraId="7C06176A">
            <w:pPr>
              <w:pStyle w:val="7"/>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both"/>
              <w:textAlignment w:val="auto"/>
              <w:rPr>
                <w:rFonts w:hint="default" w:ascii="Times New Roman" w:hAnsi="Times New Roman" w:cs="Times New Roman"/>
                <w:b/>
                <w:bCs/>
                <w:color w:val="000000" w:themeColor="text1"/>
                <w:sz w:val="24"/>
                <w:highlight w:val="none"/>
                <w14:textFill>
                  <w14:solidFill>
                    <w14:schemeClr w14:val="tx1"/>
                  </w14:solidFill>
                </w14:textFill>
              </w:rPr>
            </w:pPr>
            <w:r>
              <w:rPr>
                <w:rFonts w:hint="eastAsia" w:ascii="Times New Roman" w:hAnsi="Times New Roman" w:cs="Times New Roman"/>
                <w:b/>
                <w:bCs/>
                <w:color w:val="000000" w:themeColor="text1"/>
                <w:sz w:val="24"/>
                <w:highlight w:val="none"/>
                <w:lang w:val="en-US" w:eastAsia="zh-CN"/>
                <w14:textFill>
                  <w14:solidFill>
                    <w14:schemeClr w14:val="tx1"/>
                  </w14:solidFill>
                </w14:textFill>
              </w:rPr>
              <w:t>1、</w:t>
            </w:r>
            <w:r>
              <w:rPr>
                <w:rFonts w:hint="default" w:ascii="Times New Roman" w:hAnsi="Times New Roman" w:cs="Times New Roman"/>
                <w:b/>
                <w:bCs/>
                <w:color w:val="000000" w:themeColor="text1"/>
                <w:sz w:val="24"/>
                <w:highlight w:val="none"/>
                <w14:textFill>
                  <w14:solidFill>
                    <w14:schemeClr w14:val="tx1"/>
                  </w14:solidFill>
                </w14:textFill>
              </w:rPr>
              <w:t>主要工序简述</w:t>
            </w:r>
          </w:p>
          <w:p w14:paraId="02566CE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（1）</w:t>
            </w:r>
            <w:r>
              <w:rPr>
                <w:rFonts w:ascii="Times New Roman" w:hAnsi="Times New Roman" w:eastAsia="宋体"/>
                <w:color w:val="000000" w:themeColor="text1"/>
                <w:sz w:val="24"/>
                <w:highlight w:val="none"/>
                <w14:textFill>
                  <w14:solidFill>
                    <w14:schemeClr w14:val="tx1"/>
                  </w14:solidFill>
                </w14:textFill>
              </w:rPr>
              <w:t>场地平整：</w:t>
            </w:r>
            <w:r>
              <w:rPr>
                <w:rFonts w:hint="eastAsia" w:ascii="Times New Roman" w:hAnsi="Times New Roman" w:eastAsia="宋体"/>
                <w:color w:val="000000" w:themeColor="text1"/>
                <w:sz w:val="24"/>
                <w:highlight w:val="none"/>
                <w:lang w:eastAsia="zh-CN"/>
                <w14:textFill>
                  <w14:solidFill>
                    <w14:schemeClr w14:val="tx1"/>
                  </w14:solidFill>
                </w14:textFill>
              </w:rPr>
              <w:t>根据现场踏勘，本项目原始用地初平已完成，为裸露地面，地表无植被覆盖，施工期按照场地设计标高进行地面平整硬化。同时建立必要的、能够满足施工要求的供水、排水、供电、道路以及临时建筑等基础设施。此过程中将会产生扬尘、固废、噪声、废水。</w:t>
            </w:r>
          </w:p>
          <w:p w14:paraId="72861B6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（2）</w:t>
            </w:r>
            <w:r>
              <w:rPr>
                <w:rFonts w:ascii="Times New Roman" w:hAnsi="Times New Roman" w:eastAsia="宋体"/>
                <w:color w:val="000000" w:themeColor="text1"/>
                <w:sz w:val="24"/>
                <w:highlight w:val="none"/>
                <w14:textFill>
                  <w14:solidFill>
                    <w14:schemeClr w14:val="tx1"/>
                  </w14:solidFill>
                </w14:textFill>
              </w:rPr>
              <w:t>主体工程：即项目建筑物框架和墙体的建设</w:t>
            </w:r>
            <w:r>
              <w:rPr>
                <w:rFonts w:hint="eastAsia" w:ascii="Times New Roman" w:hAnsi="Times New Roman" w:eastAsia="宋体"/>
                <w:color w:val="000000" w:themeColor="text1"/>
                <w:sz w:val="24"/>
                <w:highlight w:val="none"/>
                <w:lang w:eastAsia="zh-CN"/>
                <w14:textFill>
                  <w14:solidFill>
                    <w14:schemeClr w14:val="tx1"/>
                  </w14:solidFill>
                </w14:textFill>
              </w:rPr>
              <w:t>，</w:t>
            </w:r>
            <w:r>
              <w:rPr>
                <w:rFonts w:ascii="Times New Roman" w:hAnsi="Times New Roman" w:eastAsia="宋体"/>
                <w:color w:val="000000" w:themeColor="text1"/>
                <w:sz w:val="24"/>
                <w:highlight w:val="none"/>
                <w14:textFill>
                  <w14:solidFill>
                    <w14:schemeClr w14:val="tx1"/>
                  </w14:solidFill>
                </w14:textFill>
              </w:rPr>
              <w:t>以及室外墙面装饰</w:t>
            </w:r>
            <w:r>
              <w:rPr>
                <w:rFonts w:hint="eastAsia" w:ascii="Times New Roman" w:hAnsi="Times New Roman" w:eastAsia="宋体"/>
                <w:color w:val="000000" w:themeColor="text1"/>
                <w:sz w:val="24"/>
                <w:highlight w:val="none"/>
                <w:lang w:eastAsia="zh-CN"/>
                <w14:textFill>
                  <w14:solidFill>
                    <w14:schemeClr w14:val="tx1"/>
                  </w14:solidFill>
                </w14:textFill>
              </w:rPr>
              <w:t>。项目厂房为钢结构厂房，办公室等辅助用房为板房结构。主要产生噪声、扬尘、建筑垃圾、废水、生活垃圾。</w:t>
            </w:r>
          </w:p>
          <w:p w14:paraId="5D955B9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（3）</w:t>
            </w:r>
            <w:r>
              <w:rPr>
                <w:rFonts w:ascii="Times New Roman" w:hAnsi="Times New Roman" w:eastAsia="宋体"/>
                <w:color w:val="000000" w:themeColor="text1"/>
                <w:sz w:val="24"/>
                <w:highlight w:val="none"/>
                <w14:textFill>
                  <w14:solidFill>
                    <w14:schemeClr w14:val="tx1"/>
                  </w14:solidFill>
                </w14:textFill>
              </w:rPr>
              <w:t>设备安装阶段：包括设备进厂、安装及调试使用等</w:t>
            </w:r>
            <w:r>
              <w:rPr>
                <w:rFonts w:hint="eastAsia" w:ascii="Times New Roman" w:hAnsi="Times New Roman" w:eastAsia="宋体"/>
                <w:color w:val="000000" w:themeColor="text1"/>
                <w:sz w:val="24"/>
                <w:highlight w:val="none"/>
                <w:lang w:eastAsia="zh-CN"/>
                <w14:textFill>
                  <w14:solidFill>
                    <w14:schemeClr w14:val="tx1"/>
                  </w14:solidFill>
                </w14:textFill>
              </w:rPr>
              <w:t>。</w:t>
            </w:r>
          </w:p>
          <w:p w14:paraId="446920C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（4）</w:t>
            </w:r>
            <w:r>
              <w:rPr>
                <w:rFonts w:ascii="Times New Roman" w:hAnsi="Times New Roman" w:eastAsia="宋体"/>
                <w:color w:val="000000" w:themeColor="text1"/>
                <w:sz w:val="24"/>
                <w:highlight w:val="none"/>
                <w14:textFill>
                  <w14:solidFill>
                    <w14:schemeClr w14:val="tx1"/>
                  </w14:solidFill>
                </w14:textFill>
              </w:rPr>
              <w:t>工程验收：对厂区内已建设及已安装好的设备进行验收。</w:t>
            </w:r>
          </w:p>
          <w:p w14:paraId="5C55284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从总体讲，该项工程在施工期以施工噪声、施工扬尘、废弃物料（废渣）和废水为主要污染物，但这些污染会随着施工的结束而结束。</w:t>
            </w:r>
          </w:p>
          <w:p w14:paraId="6032511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2</w:t>
            </w:r>
            <w:r>
              <w:rPr>
                <w:rFonts w:hint="default" w:ascii="Times New Roman" w:hAnsi="Times New Roman" w:eastAsia="宋体" w:cs="Times New Roman"/>
                <w:b/>
                <w:bCs/>
                <w:color w:val="000000" w:themeColor="text1"/>
                <w:kern w:val="0"/>
                <w:sz w:val="24"/>
                <w:szCs w:val="20"/>
                <w:highlight w:val="none"/>
                <w:lang w:val="en-US" w:eastAsia="zh-CN" w:bidi="ar-SA"/>
                <w14:textFill>
                  <w14:solidFill>
                    <w14:schemeClr w14:val="tx1"/>
                  </w14:solidFill>
                </w14:textFill>
              </w:rPr>
              <w:t>施工现场布置</w:t>
            </w:r>
          </w:p>
          <w:p w14:paraId="5984F9F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项目不设施工营地，施工单位办公及施工人员食宿就近向附近居民租房解决，为减轻施工期对环境的影响，在布置施工总平面时应遵循以下要求：</w:t>
            </w:r>
          </w:p>
          <w:p w14:paraId="35EA21F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①施工场地采取全封闭施工的方式，施工出入口设置车辆冲洗池、简易隔油沉淀池等必要设施。</w:t>
            </w:r>
          </w:p>
          <w:p w14:paraId="4A4BF8E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②工程施工现场周边设置至少2.5m高连续、密闭的围墙或围栏，围挡上方每隔3m设置一个喷头，喷雾降尘。</w:t>
            </w:r>
          </w:p>
          <w:p w14:paraId="14E7E30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③施工场地内不设置设备维修点，所有施工设备的维修、保养均依托附近场镇现有维修厂。</w:t>
            </w:r>
          </w:p>
          <w:p w14:paraId="2C4E63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综上所述，项目施工期尽可能减少污染源的产生量，且各污染源点均尽可能远离项目附近散居居民，减轻项目施工期对周边环境的影响。</w:t>
            </w:r>
          </w:p>
          <w:p w14:paraId="58B2546E">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二、运营期工艺流程</w:t>
            </w:r>
          </w:p>
          <w:p w14:paraId="5139C10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1、砂石加工工艺</w:t>
            </w:r>
          </w:p>
          <w:p w14:paraId="2B4FAE0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eastAsia" w:ascii="Times New Roman" w:hAnsi="Times New Roman" w:eastAsia="宋体"/>
                <w:color w:val="000000" w:themeColor="text1"/>
                <w:sz w:val="24"/>
                <w:highlight w:val="none"/>
                <w:lang w:eastAsia="zh-CN"/>
                <w14:textFill>
                  <w14:solidFill>
                    <w14:schemeClr w14:val="tx1"/>
                  </w14:solidFill>
                </w14:textFill>
              </w:rPr>
              <w:t>生产工艺流程图如下：</w:t>
            </w:r>
          </w:p>
          <w:p w14:paraId="12C48EF4">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object>
                <v:shape id="_x0000_i1028" o:spt="75" type="#_x0000_t75" style="height:264.8pt;width:344.6pt;" o:ole="t" filled="f" o:preferrelative="t" stroked="f" coordsize="21600,21600">
                  <v:path/>
                  <v:fill on="f" focussize="0,0"/>
                  <v:stroke on="f"/>
                  <v:imagedata r:id="rId19" o:title=""/>
                  <o:lock v:ext="edit" aspectratio="f"/>
                  <w10:wrap type="none"/>
                  <w10:anchorlock/>
                </v:shape>
                <o:OLEObject Type="Embed" ProgID="Visio.Drawing.15" ShapeID="_x0000_i1028" DrawAspect="Content" ObjectID="_1468075728" r:id="rId18">
                  <o:LockedField>false</o:LockedField>
                </o:OLEObject>
              </w:object>
            </w:r>
          </w:p>
          <w:p w14:paraId="12052C2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5</w:t>
            </w:r>
            <w:r>
              <w:rPr>
                <w:rFonts w:hint="eastAsia" w:ascii="Times New Roman" w:hAnsi="Times New Roman" w:eastAsia="宋体"/>
                <w:b/>
                <w:bCs/>
                <w:color w:val="000000" w:themeColor="text1"/>
                <w:szCs w:val="21"/>
                <w:highlight w:val="none"/>
                <w14:textFill>
                  <w14:solidFill>
                    <w14:schemeClr w14:val="tx1"/>
                  </w14:solidFill>
                </w14:textFill>
              </w:rPr>
              <w:t xml:space="preserve">    砂石加工工艺流程及产排污图</w:t>
            </w:r>
          </w:p>
          <w:p w14:paraId="38A1B75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b w:val="0"/>
                <w:bCs w:val="0"/>
                <w:color w:val="000000" w:themeColor="text1"/>
                <w:sz w:val="24"/>
                <w:highlight w:val="none"/>
                <w:lang w:eastAsia="zh-CN"/>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本项目工艺为湿法生产工艺，在砂石破碎机加工处设置喷淋装置，降低生产粉尘。</w:t>
            </w:r>
          </w:p>
          <w:p w14:paraId="440A917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一级破碎、筛分：</w:t>
            </w:r>
            <w:r>
              <w:rPr>
                <w:rFonts w:ascii="Times New Roman" w:hAnsi="Times New Roman" w:eastAsia="宋体"/>
                <w:color w:val="000000" w:themeColor="text1"/>
                <w:sz w:val="24"/>
                <w:highlight w:val="none"/>
                <w14:textFill>
                  <w14:solidFill>
                    <w14:schemeClr w14:val="tx1"/>
                  </w14:solidFill>
                </w14:textFill>
              </w:rPr>
              <w:t>项目使用的原料经厂区内自卸车运至破碎区上料口，</w:t>
            </w:r>
            <w:r>
              <w:rPr>
                <w:rFonts w:hint="eastAsia" w:ascii="Times New Roman" w:hAnsi="Times New Roman" w:eastAsia="宋体"/>
                <w:color w:val="000000" w:themeColor="text1"/>
                <w:sz w:val="24"/>
                <w:highlight w:val="none"/>
                <w14:textFill>
                  <w14:solidFill>
                    <w14:schemeClr w14:val="tx1"/>
                  </w14:solidFill>
                </w14:textFill>
              </w:rPr>
              <w:t>由</w:t>
            </w:r>
            <w:r>
              <w:rPr>
                <w:rFonts w:hint="eastAsia" w:ascii="Times New Roman" w:hAnsi="Times New Roman" w:eastAsia="宋体"/>
                <w:color w:val="000000" w:themeColor="text1"/>
                <w:sz w:val="24"/>
                <w:highlight w:val="none"/>
                <w:lang w:eastAsia="zh-CN"/>
                <w14:textFill>
                  <w14:solidFill>
                    <w14:schemeClr w14:val="tx1"/>
                  </w14:solidFill>
                </w14:textFill>
              </w:rPr>
              <w:t>装载机</w:t>
            </w:r>
            <w:r>
              <w:rPr>
                <w:rFonts w:hint="eastAsia" w:ascii="Times New Roman" w:hAnsi="Times New Roman" w:eastAsia="宋体"/>
                <w:color w:val="000000" w:themeColor="text1"/>
                <w:sz w:val="24"/>
                <w:highlight w:val="none"/>
                <w14:textFill>
                  <w14:solidFill>
                    <w14:schemeClr w14:val="tx1"/>
                  </w14:solidFill>
                </w14:textFill>
              </w:rPr>
              <w:t>给料</w:t>
            </w:r>
            <w:r>
              <w:rPr>
                <w:rFonts w:ascii="Times New Roman" w:hAnsi="Times New Roman" w:eastAsia="宋体"/>
                <w:color w:val="000000" w:themeColor="text1"/>
                <w:sz w:val="24"/>
                <w:highlight w:val="none"/>
                <w14:textFill>
                  <w14:solidFill>
                    <w14:schemeClr w14:val="tx1"/>
                  </w14:solidFill>
                </w14:textFill>
              </w:rPr>
              <w:t>，原料进入1台颚式破碎机进行破碎（一级破碎），破碎后的石料送入</w:t>
            </w:r>
            <w:r>
              <w:rPr>
                <w:rFonts w:hint="eastAsia" w:ascii="Times New Roman" w:hAnsi="Times New Roman" w:eastAsia="宋体"/>
                <w:color w:val="000000" w:themeColor="text1"/>
                <w:sz w:val="24"/>
                <w:highlight w:val="none"/>
                <w14:textFill>
                  <w14:solidFill>
                    <w14:schemeClr w14:val="tx1"/>
                  </w14:solidFill>
                </w14:textFill>
              </w:rPr>
              <w:t>1</w:t>
            </w:r>
            <w:r>
              <w:rPr>
                <w:rFonts w:ascii="Times New Roman" w:hAnsi="Times New Roman" w:eastAsia="宋体"/>
                <w:color w:val="000000" w:themeColor="text1"/>
                <w:sz w:val="24"/>
                <w:highlight w:val="none"/>
                <w14:textFill>
                  <w14:solidFill>
                    <w14:schemeClr w14:val="tx1"/>
                  </w14:solidFill>
                </w14:textFill>
              </w:rPr>
              <w:t>台筛分机进行筛分（一级筛分），</w:t>
            </w:r>
            <w:r>
              <w:rPr>
                <w:rFonts w:hint="eastAsia" w:ascii="Times New Roman" w:hAnsi="Times New Roman" w:eastAsia="宋体"/>
                <w:color w:val="000000" w:themeColor="text1"/>
                <w:sz w:val="24"/>
                <w:highlight w:val="none"/>
                <w:lang w:eastAsia="zh-CN"/>
                <w14:textFill>
                  <w14:solidFill>
                    <w14:schemeClr w14:val="tx1"/>
                  </w14:solidFill>
                </w14:textFill>
              </w:rPr>
              <w:t>三背回填材料生产时</w:t>
            </w:r>
            <w:r>
              <w:rPr>
                <w:rFonts w:ascii="Times New Roman" w:hAnsi="Times New Roman" w:eastAsia="宋体"/>
                <w:color w:val="000000" w:themeColor="text1"/>
                <w:sz w:val="24"/>
                <w:highlight w:val="none"/>
                <w14:textFill>
                  <w14:solidFill>
                    <w14:schemeClr w14:val="tx1"/>
                  </w14:solidFill>
                </w14:textFill>
              </w:rPr>
              <w:t>筛分出粒径5</w:t>
            </w:r>
            <w:r>
              <w:rPr>
                <w:rFonts w:hint="eastAsia" w:ascii="Times New Roman" w:hAnsi="Times New Roman" w:eastAsia="宋体"/>
                <w:color w:val="000000" w:themeColor="text1"/>
                <w:sz w:val="24"/>
                <w:highlight w:val="none"/>
                <w:lang w:val="en-US" w:eastAsia="zh-CN"/>
                <w14:textFill>
                  <w14:solidFill>
                    <w14:schemeClr w14:val="tx1"/>
                  </w14:solidFill>
                </w14:textFill>
              </w:rPr>
              <w:t>0</w:t>
            </w:r>
            <w:r>
              <w:rPr>
                <w:rFonts w:ascii="Times New Roman" w:hAnsi="Times New Roman" w:eastAsia="宋体"/>
                <w:color w:val="000000" w:themeColor="text1"/>
                <w:sz w:val="24"/>
                <w:highlight w:val="none"/>
                <w14:textFill>
                  <w14:solidFill>
                    <w14:schemeClr w14:val="tx1"/>
                  </w14:solidFill>
                </w14:textFill>
              </w:rPr>
              <w:t>mm</w:t>
            </w:r>
            <w:r>
              <w:rPr>
                <w:rFonts w:hint="eastAsia" w:ascii="Times New Roman" w:hAnsi="Times New Roman" w:eastAsia="宋体"/>
                <w:color w:val="000000" w:themeColor="text1"/>
                <w:sz w:val="24"/>
                <w:highlight w:val="none"/>
                <w:lang w:eastAsia="zh-CN"/>
                <w14:textFill>
                  <w14:solidFill>
                    <w14:schemeClr w14:val="tx1"/>
                  </w14:solidFill>
                </w14:textFill>
              </w:rPr>
              <w:t>以上</w:t>
            </w:r>
            <w:r>
              <w:rPr>
                <w:rFonts w:ascii="Times New Roman" w:hAnsi="Times New Roman" w:eastAsia="宋体"/>
                <w:color w:val="000000" w:themeColor="text1"/>
                <w:sz w:val="24"/>
                <w:highlight w:val="none"/>
                <w14:textFill>
                  <w14:solidFill>
                    <w14:schemeClr w14:val="tx1"/>
                  </w14:solidFill>
                </w14:textFill>
              </w:rPr>
              <w:t>砂石</w:t>
            </w:r>
            <w:r>
              <w:rPr>
                <w:rFonts w:hint="eastAsia" w:ascii="Times New Roman" w:hAnsi="Times New Roman" w:eastAsia="宋体"/>
                <w:color w:val="000000" w:themeColor="text1"/>
                <w:sz w:val="24"/>
                <w:highlight w:val="none"/>
                <w:lang w:eastAsia="zh-CN"/>
                <w14:textFill>
                  <w14:solidFill>
                    <w14:schemeClr w14:val="tx1"/>
                  </w14:solidFill>
                </w14:textFill>
              </w:rPr>
              <w:t>（水泥稳定原料生产时</w:t>
            </w:r>
            <w:r>
              <w:rPr>
                <w:rFonts w:ascii="Times New Roman" w:hAnsi="Times New Roman" w:eastAsia="宋体"/>
                <w:color w:val="000000" w:themeColor="text1"/>
                <w:sz w:val="24"/>
                <w:highlight w:val="none"/>
                <w14:textFill>
                  <w14:solidFill>
                    <w14:schemeClr w14:val="tx1"/>
                  </w14:solidFill>
                </w14:textFill>
              </w:rPr>
              <w:t>筛分出粒径</w:t>
            </w:r>
            <w:r>
              <w:rPr>
                <w:rFonts w:hint="eastAsia" w:ascii="Times New Roman" w:hAnsi="Times New Roman" w:eastAsia="宋体"/>
                <w:color w:val="000000" w:themeColor="text1"/>
                <w:sz w:val="24"/>
                <w:highlight w:val="none"/>
                <w:lang w:val="en-US" w:eastAsia="zh-CN"/>
                <w14:textFill>
                  <w14:solidFill>
                    <w14:schemeClr w14:val="tx1"/>
                  </w14:solidFill>
                </w14:textFill>
              </w:rPr>
              <w:t>37.5</w:t>
            </w:r>
            <w:r>
              <w:rPr>
                <w:rFonts w:ascii="Times New Roman" w:hAnsi="Times New Roman" w:eastAsia="宋体"/>
                <w:color w:val="000000" w:themeColor="text1"/>
                <w:sz w:val="24"/>
                <w:highlight w:val="none"/>
                <w14:textFill>
                  <w14:solidFill>
                    <w14:schemeClr w14:val="tx1"/>
                  </w14:solidFill>
                </w14:textFill>
              </w:rPr>
              <w:t>mm</w:t>
            </w:r>
            <w:r>
              <w:rPr>
                <w:rFonts w:hint="eastAsia" w:ascii="Times New Roman" w:hAnsi="Times New Roman" w:eastAsia="宋体"/>
                <w:color w:val="000000" w:themeColor="text1"/>
                <w:sz w:val="24"/>
                <w:highlight w:val="none"/>
                <w:lang w:eastAsia="zh-CN"/>
                <w14:textFill>
                  <w14:solidFill>
                    <w14:schemeClr w14:val="tx1"/>
                  </w14:solidFill>
                </w14:textFill>
              </w:rPr>
              <w:t>以上</w:t>
            </w:r>
            <w:r>
              <w:rPr>
                <w:rFonts w:ascii="Times New Roman" w:hAnsi="Times New Roman" w:eastAsia="宋体"/>
                <w:color w:val="000000" w:themeColor="text1"/>
                <w:sz w:val="24"/>
                <w:highlight w:val="none"/>
                <w14:textFill>
                  <w14:solidFill>
                    <w14:schemeClr w14:val="tx1"/>
                  </w14:solidFill>
                </w14:textFill>
              </w:rPr>
              <w:t>砂石</w:t>
            </w:r>
            <w:r>
              <w:rPr>
                <w:rFonts w:hint="eastAsia" w:ascii="Times New Roman" w:hAnsi="Times New Roman" w:eastAsia="宋体"/>
                <w:color w:val="000000" w:themeColor="text1"/>
                <w:sz w:val="24"/>
                <w:highlight w:val="none"/>
                <w:lang w:eastAsia="zh-CN"/>
                <w14:textFill>
                  <w14:solidFill>
                    <w14:schemeClr w14:val="tx1"/>
                  </w14:solidFill>
                </w14:textFill>
              </w:rPr>
              <w:t>）</w:t>
            </w:r>
            <w:r>
              <w:rPr>
                <w:rFonts w:ascii="Times New Roman" w:hAnsi="Times New Roman" w:eastAsia="宋体"/>
                <w:color w:val="000000" w:themeColor="text1"/>
                <w:sz w:val="24"/>
                <w:highlight w:val="none"/>
                <w14:textFill>
                  <w14:solidFill>
                    <w14:schemeClr w14:val="tx1"/>
                  </w14:solidFill>
                </w14:textFill>
              </w:rPr>
              <w:t>通过密闭传输皮带传输入</w:t>
            </w:r>
            <w:r>
              <w:rPr>
                <w:rFonts w:hint="eastAsia" w:ascii="Times New Roman" w:hAnsi="Times New Roman" w:eastAsia="宋体"/>
                <w:color w:val="000000" w:themeColor="text1"/>
                <w:sz w:val="24"/>
                <w:highlight w:val="none"/>
                <w14:textFill>
                  <w14:solidFill>
                    <w14:schemeClr w14:val="tx1"/>
                  </w14:solidFill>
                </w14:textFill>
              </w:rPr>
              <w:t>二</w:t>
            </w:r>
            <w:r>
              <w:rPr>
                <w:rFonts w:ascii="Times New Roman" w:hAnsi="Times New Roman" w:eastAsia="宋体"/>
                <w:color w:val="000000" w:themeColor="text1"/>
                <w:sz w:val="24"/>
                <w:highlight w:val="none"/>
                <w14:textFill>
                  <w14:solidFill>
                    <w14:schemeClr w14:val="tx1"/>
                  </w14:solidFill>
                </w14:textFill>
              </w:rPr>
              <w:t>级</w:t>
            </w:r>
            <w:r>
              <w:rPr>
                <w:rFonts w:hint="eastAsia" w:ascii="Times New Roman" w:hAnsi="Times New Roman" w:eastAsia="宋体"/>
                <w:color w:val="000000" w:themeColor="text1"/>
                <w:sz w:val="24"/>
                <w:highlight w:val="none"/>
                <w14:textFill>
                  <w14:solidFill>
                    <w14:schemeClr w14:val="tx1"/>
                  </w14:solidFill>
                </w14:textFill>
              </w:rPr>
              <w:t>破碎装置</w:t>
            </w:r>
            <w:r>
              <w:rPr>
                <w:rFonts w:ascii="Times New Roman" w:hAnsi="Times New Roman" w:eastAsia="宋体"/>
                <w:color w:val="000000" w:themeColor="text1"/>
                <w:sz w:val="24"/>
                <w:highlight w:val="none"/>
                <w14:textFill>
                  <w14:solidFill>
                    <w14:schemeClr w14:val="tx1"/>
                  </w14:solidFill>
                </w14:textFill>
              </w:rPr>
              <w:t>。</w:t>
            </w:r>
            <w:r>
              <w:rPr>
                <w:rFonts w:hint="eastAsia" w:ascii="Times New Roman" w:hAnsi="Times New Roman" w:eastAsia="宋体"/>
                <w:color w:val="000000" w:themeColor="text1"/>
                <w:sz w:val="24"/>
                <w:highlight w:val="none"/>
                <w14:textFill>
                  <w14:solidFill>
                    <w14:schemeClr w14:val="tx1"/>
                  </w14:solidFill>
                </w14:textFill>
              </w:rPr>
              <w:t>以上工序主要产污为噪声、粉尘。</w:t>
            </w:r>
          </w:p>
          <w:p w14:paraId="7928D6E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二级破碎：</w:t>
            </w:r>
            <w:r>
              <w:rPr>
                <w:rFonts w:hint="eastAsia" w:ascii="Times New Roman" w:hAnsi="Times New Roman" w:eastAsia="宋体"/>
                <w:color w:val="000000" w:themeColor="text1"/>
                <w:sz w:val="24"/>
                <w:highlight w:val="none"/>
                <w14:textFill>
                  <w14:solidFill>
                    <w14:schemeClr w14:val="tx1"/>
                  </w14:solidFill>
                </w14:textFill>
              </w:rPr>
              <w:t>进过一级筛分产生的石料通过密闭传输皮带进入破碎区设置的</w:t>
            </w:r>
            <w:r>
              <w:rPr>
                <w:rFonts w:hint="eastAsia" w:ascii="Times New Roman" w:hAnsi="Times New Roman" w:eastAsia="宋体"/>
                <w:color w:val="000000" w:themeColor="text1"/>
                <w:sz w:val="24"/>
                <w:highlight w:val="none"/>
                <w:lang w:val="en-US" w:eastAsia="zh-CN"/>
                <w14:textFill>
                  <w14:solidFill>
                    <w14:schemeClr w14:val="tx1"/>
                  </w14:solidFill>
                </w14:textFill>
              </w:rPr>
              <w:t>2</w:t>
            </w:r>
            <w:r>
              <w:rPr>
                <w:rFonts w:hint="eastAsia" w:ascii="Times New Roman" w:hAnsi="Times New Roman" w:eastAsia="宋体"/>
                <w:color w:val="000000" w:themeColor="text1"/>
                <w:sz w:val="24"/>
                <w:highlight w:val="none"/>
                <w14:textFill>
                  <w14:solidFill>
                    <w14:schemeClr w14:val="tx1"/>
                  </w14:solidFill>
                </w14:textFill>
              </w:rPr>
              <w:t>台反击破碎机进行破碎（二级破碎），破碎后的石料通过</w:t>
            </w:r>
            <w:r>
              <w:rPr>
                <w:rFonts w:hint="eastAsia" w:ascii="Times New Roman" w:hAnsi="Times New Roman" w:eastAsia="宋体"/>
                <w:color w:val="000000" w:themeColor="text1"/>
                <w:sz w:val="24"/>
                <w:highlight w:val="none"/>
                <w:lang w:eastAsia="zh-CN"/>
                <w14:textFill>
                  <w14:solidFill>
                    <w14:schemeClr w14:val="tx1"/>
                  </w14:solidFill>
                </w14:textFill>
              </w:rPr>
              <w:t>自卸汽车运输至施工场地或厂区水稳站</w:t>
            </w:r>
            <w:r>
              <w:rPr>
                <w:rFonts w:hint="eastAsia" w:ascii="Times New Roman" w:hAnsi="Times New Roman" w:eastAsia="宋体"/>
                <w:color w:val="000000" w:themeColor="text1"/>
                <w:sz w:val="24"/>
                <w:highlight w:val="none"/>
                <w14:textFill>
                  <w14:solidFill>
                    <w14:schemeClr w14:val="tx1"/>
                  </w14:solidFill>
                </w14:textFill>
              </w:rPr>
              <w:t>。以上工序主要产污为噪声、粉尘。</w:t>
            </w:r>
          </w:p>
          <w:p w14:paraId="77901E67">
            <w:pPr>
              <w:keepNext w:val="0"/>
              <w:keepLines w:val="0"/>
              <w:pageBreakBefore w:val="0"/>
              <w:widowControl w:val="0"/>
              <w:kinsoku/>
              <w:wordWrap/>
              <w:overflowPunct/>
              <w:topLinePunct w:val="0"/>
              <w:autoSpaceDE/>
              <w:autoSpaceDN/>
              <w:bidi w:val="0"/>
              <w:adjustRightInd w:val="0"/>
              <w:snapToGrid w:val="0"/>
              <w:spacing w:line="360" w:lineRule="auto"/>
              <w:ind w:firstLine="573"/>
              <w:textAlignment w:val="auto"/>
              <w:rPr>
                <w:rFonts w:hint="eastAsia" w:ascii="Times New Roman" w:hAnsi="Times New Roman" w:eastAsia="宋体" w:cs="Times New Roman"/>
                <w:b/>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
                <w:color w:val="000000" w:themeColor="text1"/>
                <w:sz w:val="24"/>
                <w:szCs w:val="24"/>
                <w:highlight w:val="none"/>
                <w:lang w:val="en-US" w:eastAsia="zh-CN"/>
                <w14:textFill>
                  <w14:solidFill>
                    <w14:schemeClr w14:val="tx1"/>
                  </w14:solidFill>
                </w14:textFill>
              </w:rPr>
              <w:t>2</w:t>
            </w:r>
            <w:r>
              <w:rPr>
                <w:rFonts w:ascii="Times New Roman" w:hAnsi="宋体" w:eastAsia="宋体" w:cs="Times New Roman"/>
                <w:b/>
                <w:color w:val="000000" w:themeColor="text1"/>
                <w:sz w:val="24"/>
                <w:szCs w:val="24"/>
                <w:highlight w:val="none"/>
                <w14:textFill>
                  <w14:solidFill>
                    <w14:schemeClr w14:val="tx1"/>
                  </w14:solidFill>
                </w14:textFill>
              </w:rPr>
              <w:t>、</w:t>
            </w:r>
            <w:r>
              <w:rPr>
                <w:rFonts w:hint="eastAsia" w:ascii="Times New Roman" w:hAnsi="宋体" w:eastAsia="宋体" w:cs="Times New Roman"/>
                <w:b/>
                <w:color w:val="000000" w:themeColor="text1"/>
                <w:sz w:val="24"/>
                <w:szCs w:val="24"/>
                <w:highlight w:val="none"/>
                <w:lang w:eastAsia="zh-CN"/>
                <w14:textFill>
                  <w14:solidFill>
                    <w14:schemeClr w14:val="tx1"/>
                  </w14:solidFill>
                </w14:textFill>
              </w:rPr>
              <w:t>水稳基层材料生产工艺</w:t>
            </w:r>
          </w:p>
          <w:p w14:paraId="4DBD830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b/>
                <w:bCs/>
                <w:color w:val="000000" w:themeColor="text1"/>
                <w:sz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生产工艺流程图如下：</w:t>
            </w:r>
          </w:p>
          <w:p w14:paraId="3330839F">
            <w:pPr>
              <w:keepNext w:val="0"/>
              <w:keepLines w:val="0"/>
              <w:pageBreakBefore w:val="0"/>
              <w:widowControl w:val="0"/>
              <w:kinsoku/>
              <w:wordWrap/>
              <w:overflowPunct/>
              <w:topLinePunct w:val="0"/>
              <w:autoSpaceDE/>
              <w:autoSpaceDN/>
              <w:bidi w:val="0"/>
              <w:adjustRightInd w:val="0"/>
              <w:snapToGrid w:val="0"/>
              <w:jc w:val="center"/>
              <w:textAlignment w:val="auto"/>
              <w:rPr>
                <w:rFonts w:ascii="Times New Roman" w:hAnsi="宋体"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Cs w:val="24"/>
                <w:highlight w:val="none"/>
                <w14:textFill>
                  <w14:solidFill>
                    <w14:schemeClr w14:val="tx1"/>
                  </w14:solidFill>
                </w14:textFill>
              </w:rPr>
              <w:drawing>
                <wp:inline distT="0" distB="0" distL="0" distR="0">
                  <wp:extent cx="3153410" cy="3089910"/>
                  <wp:effectExtent l="0" t="0" r="889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a:stretch>
                            <a:fillRect/>
                          </a:stretch>
                        </pic:blipFill>
                        <pic:spPr>
                          <a:xfrm>
                            <a:off x="0" y="0"/>
                            <a:ext cx="3153410" cy="3089910"/>
                          </a:xfrm>
                          <a:prstGeom prst="rect">
                            <a:avLst/>
                          </a:prstGeom>
                        </pic:spPr>
                      </pic:pic>
                    </a:graphicData>
                  </a:graphic>
                </wp:inline>
              </w:drawing>
            </w:r>
          </w:p>
          <w:p w14:paraId="43F5878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s="Times New Roman"/>
                <w:b/>
                <w:color w:val="000000" w:themeColor="text1"/>
                <w:kern w:val="2"/>
                <w:sz w:val="21"/>
                <w:szCs w:val="24"/>
                <w:highlight w:val="none"/>
                <w:lang w:val="en-US" w:eastAsia="zh-CN" w:bidi="ar-SA"/>
                <w14:textFill>
                  <w14:solidFill>
                    <w14:schemeClr w14:val="tx1"/>
                  </w14:solidFill>
                </w14:textFill>
              </w:rPr>
            </w:pPr>
            <w:r>
              <w:rPr>
                <w:rFonts w:hint="eastAsia" w:ascii="Times New Roman" w:hAnsi="Times New Roman" w:eastAsia="宋体" w:cs="Times New Roman"/>
                <w:b/>
                <w:color w:val="000000" w:themeColor="text1"/>
                <w:kern w:val="2"/>
                <w:sz w:val="21"/>
                <w:szCs w:val="24"/>
                <w:highlight w:val="none"/>
                <w:lang w:val="en-US" w:eastAsia="zh-CN" w:bidi="ar-SA"/>
                <w14:textFill>
                  <w14:solidFill>
                    <w14:schemeClr w14:val="tx1"/>
                  </w14:solidFill>
                </w14:textFill>
              </w:rPr>
              <w:t>附图5-1    项目生产</w:t>
            </w:r>
            <w:r>
              <w:rPr>
                <w:rFonts w:ascii="Times New Roman" w:hAnsi="Times New Roman" w:eastAsia="宋体" w:cs="Times New Roman"/>
                <w:b/>
                <w:color w:val="000000" w:themeColor="text1"/>
                <w:kern w:val="2"/>
                <w:sz w:val="21"/>
                <w:szCs w:val="24"/>
                <w:highlight w:val="none"/>
                <w:lang w:val="en-US" w:eastAsia="zh-CN" w:bidi="ar-SA"/>
                <w14:textFill>
                  <w14:solidFill>
                    <w14:schemeClr w14:val="tx1"/>
                  </w14:solidFill>
                </w14:textFill>
              </w:rPr>
              <w:t>工艺流程及产污位置示意图</w:t>
            </w:r>
          </w:p>
          <w:p w14:paraId="5C184CA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b/>
                <w:color w:val="000000" w:themeColor="text1"/>
                <w:sz w:val="24"/>
                <w:szCs w:val="24"/>
                <w:highlight w:val="none"/>
                <w14:textFill>
                  <w14:solidFill>
                    <w14:schemeClr w14:val="tx1"/>
                  </w14:solidFill>
                </w14:textFill>
              </w:rPr>
              <w:t>工艺</w:t>
            </w:r>
            <w:r>
              <w:rPr>
                <w:rFonts w:ascii="Times New Roman" w:hAnsi="Times New Roman" w:eastAsia="宋体" w:cs="Times New Roman"/>
                <w:b/>
                <w:color w:val="000000" w:themeColor="text1"/>
                <w:sz w:val="24"/>
                <w:szCs w:val="24"/>
                <w:highlight w:val="none"/>
                <w14:textFill>
                  <w14:solidFill>
                    <w14:schemeClr w14:val="tx1"/>
                  </w14:solidFill>
                </w14:textFill>
              </w:rPr>
              <w:t>流程说明：</w:t>
            </w:r>
            <w:r>
              <w:rPr>
                <w:rFonts w:hint="eastAsia" w:ascii="Times New Roman" w:hAnsi="Times New Roman" w:eastAsia="宋体" w:cs="Times New Roman"/>
                <w:color w:val="000000" w:themeColor="text1"/>
                <w:sz w:val="24"/>
                <w:szCs w:val="24"/>
                <w:highlight w:val="none"/>
                <w14:textFill>
                  <w14:solidFill>
                    <w14:schemeClr w14:val="tx1"/>
                  </w14:solidFill>
                </w14:textFill>
              </w:rPr>
              <w:t>建设</w:t>
            </w:r>
            <w:r>
              <w:rPr>
                <w:rFonts w:ascii="Times New Roman" w:hAnsi="Times New Roman" w:eastAsia="宋体" w:cs="Times New Roman"/>
                <w:color w:val="000000" w:themeColor="text1"/>
                <w:sz w:val="24"/>
                <w:szCs w:val="24"/>
                <w:highlight w:val="none"/>
                <w14:textFill>
                  <w14:solidFill>
                    <w14:schemeClr w14:val="tx1"/>
                  </w14:solidFill>
                </w14:textFill>
              </w:rPr>
              <w:t>项目生产工艺</w:t>
            </w:r>
            <w:r>
              <w:rPr>
                <w:rFonts w:hint="eastAsia" w:ascii="Times New Roman" w:hAnsi="Times New Roman" w:eastAsia="宋体" w:cs="Times New Roman"/>
                <w:color w:val="000000" w:themeColor="text1"/>
                <w:sz w:val="24"/>
                <w:szCs w:val="24"/>
                <w:highlight w:val="none"/>
                <w14:textFill>
                  <w14:solidFill>
                    <w14:schemeClr w14:val="tx1"/>
                  </w14:solidFill>
                </w14:textFill>
              </w:rPr>
              <w:t>的</w:t>
            </w:r>
            <w:r>
              <w:rPr>
                <w:rFonts w:ascii="Times New Roman" w:hAnsi="Times New Roman" w:eastAsia="宋体" w:cs="Times New Roman"/>
                <w:color w:val="000000" w:themeColor="text1"/>
                <w:sz w:val="24"/>
                <w:szCs w:val="24"/>
                <w:highlight w:val="none"/>
                <w14:textFill>
                  <w14:solidFill>
                    <w14:schemeClr w14:val="tx1"/>
                  </w14:solidFill>
                </w14:textFill>
              </w:rPr>
              <w:t>所有工序</w:t>
            </w:r>
            <w:r>
              <w:rPr>
                <w:rFonts w:hint="eastAsia" w:ascii="Times New Roman" w:hAnsi="Times New Roman" w:eastAsia="宋体" w:cs="Times New Roman"/>
                <w:color w:val="000000" w:themeColor="text1"/>
                <w:sz w:val="24"/>
                <w:szCs w:val="24"/>
                <w:highlight w:val="none"/>
                <w14:textFill>
                  <w14:solidFill>
                    <w14:schemeClr w14:val="tx1"/>
                  </w14:solidFill>
                </w14:textFill>
              </w:rPr>
              <w:t>均</w:t>
            </w:r>
            <w:r>
              <w:rPr>
                <w:rFonts w:ascii="Times New Roman" w:hAnsi="Times New Roman" w:eastAsia="宋体" w:cs="Times New Roman"/>
                <w:color w:val="000000" w:themeColor="text1"/>
                <w:sz w:val="24"/>
                <w:szCs w:val="24"/>
                <w:highlight w:val="none"/>
                <w14:textFill>
                  <w14:solidFill>
                    <w14:schemeClr w14:val="tx1"/>
                  </w14:solidFill>
                </w14:textFill>
              </w:rPr>
              <w:t>为</w:t>
            </w:r>
            <w:r>
              <w:rPr>
                <w:rFonts w:hint="eastAsia" w:ascii="Times New Roman" w:hAnsi="Times New Roman" w:eastAsia="宋体" w:cs="Times New Roman"/>
                <w:color w:val="000000" w:themeColor="text1"/>
                <w:sz w:val="24"/>
                <w:szCs w:val="24"/>
                <w:highlight w:val="none"/>
                <w14:textFill>
                  <w14:solidFill>
                    <w14:schemeClr w14:val="tx1"/>
                  </w14:solidFill>
                </w14:textFill>
              </w:rPr>
              <w:t>物理</w:t>
            </w:r>
            <w:r>
              <w:rPr>
                <w:rFonts w:ascii="Times New Roman" w:hAnsi="Times New Roman" w:eastAsia="宋体" w:cs="Times New Roman"/>
                <w:color w:val="000000" w:themeColor="text1"/>
                <w:sz w:val="24"/>
                <w:szCs w:val="24"/>
                <w:highlight w:val="none"/>
                <w14:textFill>
                  <w14:solidFill>
                    <w14:schemeClr w14:val="tx1"/>
                  </w14:solidFill>
                </w14:textFill>
              </w:rPr>
              <w:t>过程，生产时先将各种原料进行计量配送</w:t>
            </w:r>
            <w:r>
              <w:rPr>
                <w:rFonts w:hint="eastAsia" w:ascii="Times New Roman" w:hAnsi="Times New Roman" w:eastAsia="宋体" w:cs="Times New Roman"/>
                <w:color w:val="000000" w:themeColor="text1"/>
                <w:sz w:val="24"/>
                <w:szCs w:val="24"/>
                <w:highlight w:val="none"/>
                <w14:textFill>
                  <w14:solidFill>
                    <w14:schemeClr w14:val="tx1"/>
                  </w14:solidFill>
                </w14:textFill>
              </w:rPr>
              <w:t>，</w:t>
            </w:r>
            <w:r>
              <w:rPr>
                <w:rFonts w:ascii="Times New Roman" w:hAnsi="Times New Roman" w:eastAsia="宋体" w:cs="Times New Roman"/>
                <w:color w:val="000000" w:themeColor="text1"/>
                <w:sz w:val="24"/>
                <w:szCs w:val="24"/>
                <w:highlight w:val="none"/>
                <w14:textFill>
                  <w14:solidFill>
                    <w14:schemeClr w14:val="tx1"/>
                  </w14:solidFill>
                </w14:textFill>
              </w:rPr>
              <w:t>其次进行重量配料，接着通过电脑控制进行强制配料，以保证</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水泥稳定碎石</w:t>
            </w:r>
            <w:r>
              <w:rPr>
                <w:rFonts w:hint="eastAsia" w:ascii="Times New Roman" w:hAnsi="Times New Roman" w:eastAsia="宋体" w:cs="Times New Roman"/>
                <w:color w:val="000000" w:themeColor="text1"/>
                <w:sz w:val="24"/>
                <w:szCs w:val="24"/>
                <w:highlight w:val="none"/>
                <w14:textFill>
                  <w14:solidFill>
                    <w14:schemeClr w14:val="tx1"/>
                  </w14:solidFill>
                </w14:textFill>
              </w:rPr>
              <w:t>产品品质</w:t>
            </w:r>
            <w:r>
              <w:rPr>
                <w:rFonts w:ascii="Times New Roman" w:hAnsi="Times New Roman" w:eastAsia="宋体" w:cs="Times New Roman"/>
                <w:color w:val="000000" w:themeColor="text1"/>
                <w:sz w:val="24"/>
                <w:szCs w:val="24"/>
                <w:highlight w:val="none"/>
                <w14:textFill>
                  <w14:solidFill>
                    <w14:schemeClr w14:val="tx1"/>
                  </w14:solidFill>
                </w14:textFill>
              </w:rPr>
              <w:t>。配好</w:t>
            </w:r>
            <w:r>
              <w:rPr>
                <w:rFonts w:hint="eastAsia" w:ascii="Times New Roman" w:hAnsi="Times New Roman" w:eastAsia="宋体" w:cs="Times New Roman"/>
                <w:color w:val="000000" w:themeColor="text1"/>
                <w:sz w:val="24"/>
                <w:szCs w:val="24"/>
                <w:highlight w:val="none"/>
                <w14:textFill>
                  <w14:solidFill>
                    <w14:schemeClr w14:val="tx1"/>
                  </w14:solidFill>
                </w14:textFill>
              </w:rPr>
              <w:t>的</w:t>
            </w:r>
            <w:r>
              <w:rPr>
                <w:rFonts w:ascii="Times New Roman" w:hAnsi="Times New Roman" w:eastAsia="宋体" w:cs="Times New Roman"/>
                <w:color w:val="000000" w:themeColor="text1"/>
                <w:sz w:val="24"/>
                <w:szCs w:val="24"/>
                <w:highlight w:val="none"/>
                <w14:textFill>
                  <w14:solidFill>
                    <w14:schemeClr w14:val="tx1"/>
                  </w14:solidFill>
                </w14:textFill>
              </w:rPr>
              <w:t>料送入</w:t>
            </w:r>
            <w:r>
              <w:rPr>
                <w:rFonts w:hint="eastAsia" w:ascii="Times New Roman" w:hAnsi="Times New Roman" w:eastAsia="宋体" w:cs="Times New Roman"/>
                <w:color w:val="000000" w:themeColor="text1"/>
                <w:sz w:val="24"/>
                <w:szCs w:val="24"/>
                <w:highlight w:val="none"/>
                <w14:textFill>
                  <w14:solidFill>
                    <w14:schemeClr w14:val="tx1"/>
                  </w14:solidFill>
                </w14:textFill>
              </w:rPr>
              <w:t>搅拌设备</w:t>
            </w:r>
            <w:r>
              <w:rPr>
                <w:rFonts w:ascii="Times New Roman" w:hAnsi="Times New Roman" w:eastAsia="宋体" w:cs="Times New Roman"/>
                <w:color w:val="000000" w:themeColor="text1"/>
                <w:sz w:val="24"/>
                <w:szCs w:val="24"/>
                <w:highlight w:val="none"/>
                <w14:textFill>
                  <w14:solidFill>
                    <w14:schemeClr w14:val="tx1"/>
                  </w14:solidFill>
                </w14:textFill>
              </w:rPr>
              <w:t>进行搅拌，</w:t>
            </w:r>
            <w:r>
              <w:rPr>
                <w:rFonts w:hint="eastAsia" w:ascii="Times New Roman" w:hAnsi="Times New Roman" w:eastAsia="宋体" w:cs="Times New Roman"/>
                <w:color w:val="000000" w:themeColor="text1"/>
                <w:sz w:val="24"/>
                <w:szCs w:val="24"/>
                <w:highlight w:val="none"/>
                <w14:textFill>
                  <w14:solidFill>
                    <w14:schemeClr w14:val="tx1"/>
                  </w14:solidFill>
                </w14:textFill>
              </w:rPr>
              <w:t>搅拌</w:t>
            </w:r>
            <w:r>
              <w:rPr>
                <w:rFonts w:ascii="Times New Roman" w:hAnsi="Times New Roman" w:eastAsia="宋体" w:cs="Times New Roman"/>
                <w:color w:val="000000" w:themeColor="text1"/>
                <w:sz w:val="24"/>
                <w:szCs w:val="24"/>
                <w:highlight w:val="none"/>
                <w14:textFill>
                  <w14:solidFill>
                    <w14:schemeClr w14:val="tx1"/>
                  </w14:solidFill>
                </w14:textFill>
              </w:rPr>
              <w:t>完成后经</w:t>
            </w:r>
            <w:r>
              <w:rPr>
                <w:rFonts w:hint="eastAsia" w:ascii="Times New Roman" w:hAnsi="Times New Roman" w:eastAsia="宋体" w:cs="Times New Roman"/>
                <w:color w:val="000000" w:themeColor="text1"/>
                <w:sz w:val="24"/>
                <w:szCs w:val="24"/>
                <w:highlight w:val="none"/>
                <w14:textFill>
                  <w14:solidFill>
                    <w14:schemeClr w14:val="tx1"/>
                  </w14:solidFill>
                </w14:textFill>
              </w:rPr>
              <w:t>输送带</w:t>
            </w:r>
            <w:r>
              <w:rPr>
                <w:rFonts w:ascii="Times New Roman" w:hAnsi="Times New Roman" w:eastAsia="宋体" w:cs="Times New Roman"/>
                <w:color w:val="000000" w:themeColor="text1"/>
                <w:sz w:val="24"/>
                <w:szCs w:val="24"/>
                <w:highlight w:val="none"/>
                <w14:textFill>
                  <w14:solidFill>
                    <w14:schemeClr w14:val="tx1"/>
                  </w14:solidFill>
                </w14:textFill>
              </w:rPr>
              <w:t>送入</w:t>
            </w:r>
            <w:r>
              <w:rPr>
                <w:rFonts w:hint="eastAsia" w:ascii="Times New Roman" w:hAnsi="Times New Roman" w:eastAsia="宋体" w:cs="Times New Roman"/>
                <w:color w:val="000000" w:themeColor="text1"/>
                <w:sz w:val="24"/>
                <w:szCs w:val="24"/>
                <w:highlight w:val="none"/>
                <w14:textFill>
                  <w14:solidFill>
                    <w14:schemeClr w14:val="tx1"/>
                  </w14:solidFill>
                </w14:textFill>
              </w:rPr>
              <w:t>砂石运输</w:t>
            </w:r>
            <w:r>
              <w:rPr>
                <w:rFonts w:ascii="Times New Roman" w:hAnsi="Times New Roman" w:eastAsia="宋体" w:cs="Times New Roman"/>
                <w:color w:val="000000" w:themeColor="text1"/>
                <w:sz w:val="24"/>
                <w:szCs w:val="24"/>
                <w:highlight w:val="none"/>
                <w14:textFill>
                  <w14:solidFill>
                    <w14:schemeClr w14:val="tx1"/>
                  </w14:solidFill>
                </w14:textFill>
              </w:rPr>
              <w:t>车，最后送往建筑工地</w:t>
            </w:r>
            <w:r>
              <w:rPr>
                <w:rFonts w:hint="eastAsia" w:ascii="Times New Roman" w:hAnsi="Times New Roman" w:eastAsia="宋体" w:cs="Times New Roman"/>
                <w:color w:val="000000" w:themeColor="text1"/>
                <w:sz w:val="24"/>
                <w:szCs w:val="24"/>
                <w:highlight w:val="none"/>
                <w14:textFill>
                  <w14:solidFill>
                    <w14:schemeClr w14:val="tx1"/>
                  </w14:solidFill>
                </w14:textFill>
              </w:rPr>
              <w:t>。项目</w:t>
            </w:r>
            <w:r>
              <w:rPr>
                <w:rFonts w:ascii="Times New Roman" w:hAnsi="Times New Roman" w:eastAsia="宋体" w:cs="Times New Roman"/>
                <w:color w:val="000000" w:themeColor="text1"/>
                <w:sz w:val="24"/>
                <w:szCs w:val="24"/>
                <w:highlight w:val="none"/>
                <w14:textFill>
                  <w14:solidFill>
                    <w14:schemeClr w14:val="tx1"/>
                  </w14:solidFill>
                </w14:textFill>
              </w:rPr>
              <w:t>砂、石</w:t>
            </w:r>
            <w:r>
              <w:rPr>
                <w:rFonts w:hint="eastAsia" w:ascii="Times New Roman" w:hAnsi="Times New Roman" w:eastAsia="宋体" w:cs="Times New Roman"/>
                <w:color w:val="000000" w:themeColor="text1"/>
                <w:sz w:val="24"/>
                <w:szCs w:val="24"/>
                <w:highlight w:val="none"/>
                <w14:textFill>
                  <w14:solidFill>
                    <w14:schemeClr w14:val="tx1"/>
                  </w14:solidFill>
                </w14:textFill>
              </w:rPr>
              <w:t>提升</w:t>
            </w:r>
            <w:r>
              <w:rPr>
                <w:rFonts w:ascii="Times New Roman" w:hAnsi="Times New Roman" w:eastAsia="宋体" w:cs="Times New Roman"/>
                <w:color w:val="000000" w:themeColor="text1"/>
                <w:sz w:val="24"/>
                <w:szCs w:val="24"/>
                <w:highlight w:val="none"/>
                <w14:textFill>
                  <w14:solidFill>
                    <w14:schemeClr w14:val="tx1"/>
                  </w14:solidFill>
                </w14:textFill>
              </w:rPr>
              <w:t>以皮带输送</w:t>
            </w:r>
            <w:r>
              <w:rPr>
                <w:rFonts w:hint="eastAsia" w:ascii="Times New Roman" w:hAnsi="Times New Roman" w:eastAsia="宋体" w:cs="Times New Roman"/>
                <w:color w:val="000000" w:themeColor="text1"/>
                <w:sz w:val="24"/>
                <w:szCs w:val="24"/>
                <w:highlight w:val="none"/>
                <w14:textFill>
                  <w14:solidFill>
                    <w14:schemeClr w14:val="tx1"/>
                  </w14:solidFill>
                </w14:textFill>
              </w:rPr>
              <w:t>方式</w:t>
            </w:r>
            <w:r>
              <w:rPr>
                <w:rFonts w:ascii="Times New Roman" w:hAnsi="Times New Roman" w:eastAsia="宋体" w:cs="Times New Roman"/>
                <w:color w:val="000000" w:themeColor="text1"/>
                <w:sz w:val="24"/>
                <w:szCs w:val="24"/>
                <w:highlight w:val="none"/>
                <w14:textFill>
                  <w14:solidFill>
                    <w14:schemeClr w14:val="tx1"/>
                  </w14:solidFill>
                </w14:textFill>
              </w:rPr>
              <w:t>完成。水泥</w:t>
            </w:r>
            <w:r>
              <w:rPr>
                <w:rFonts w:hint="eastAsia" w:ascii="Times New Roman" w:hAnsi="Times New Roman" w:eastAsia="宋体" w:cs="Times New Roman"/>
                <w:color w:val="000000" w:themeColor="text1"/>
                <w:sz w:val="24"/>
                <w:szCs w:val="24"/>
                <w:highlight w:val="none"/>
                <w14:textFill>
                  <w14:solidFill>
                    <w14:schemeClr w14:val="tx1"/>
                  </w14:solidFill>
                </w14:textFill>
              </w:rPr>
              <w:t>等</w:t>
            </w:r>
            <w:r>
              <w:rPr>
                <w:rFonts w:ascii="Times New Roman" w:hAnsi="Times New Roman" w:eastAsia="宋体" w:cs="Times New Roman"/>
                <w:color w:val="000000" w:themeColor="text1"/>
                <w:sz w:val="24"/>
                <w:szCs w:val="24"/>
                <w:highlight w:val="none"/>
                <w14:textFill>
                  <w14:solidFill>
                    <w14:schemeClr w14:val="tx1"/>
                  </w14:solidFill>
                </w14:textFill>
              </w:rPr>
              <w:t>则以压缩空气吹入</w:t>
            </w:r>
            <w:r>
              <w:rPr>
                <w:rFonts w:hint="eastAsia" w:ascii="Times New Roman" w:hAnsi="Times New Roman" w:eastAsia="宋体" w:cs="Times New Roman"/>
                <w:color w:val="000000" w:themeColor="text1"/>
                <w:sz w:val="24"/>
                <w:szCs w:val="24"/>
                <w:highlight w:val="none"/>
                <w14:textFill>
                  <w14:solidFill>
                    <w14:schemeClr w14:val="tx1"/>
                  </w14:solidFill>
                </w14:textFill>
              </w:rPr>
              <w:t>散装</w:t>
            </w:r>
            <w:r>
              <w:rPr>
                <w:rFonts w:ascii="Times New Roman" w:hAnsi="Times New Roman" w:eastAsia="宋体" w:cs="Times New Roman"/>
                <w:color w:val="000000" w:themeColor="text1"/>
                <w:sz w:val="24"/>
                <w:szCs w:val="24"/>
                <w:highlight w:val="none"/>
                <w14:textFill>
                  <w14:solidFill>
                    <w14:schemeClr w14:val="tx1"/>
                  </w14:solidFill>
                </w14:textFill>
              </w:rPr>
              <w:t>水泥筒仓，辅以螺旋输送机给水泥称供料，</w:t>
            </w:r>
            <w:r>
              <w:rPr>
                <w:rFonts w:hint="eastAsia" w:ascii="Times New Roman" w:hAnsi="Times New Roman" w:eastAsia="宋体" w:cs="Times New Roman"/>
                <w:color w:val="000000" w:themeColor="text1"/>
                <w:sz w:val="24"/>
                <w:szCs w:val="24"/>
                <w:highlight w:val="none"/>
                <w14:textFill>
                  <w14:solidFill>
                    <w14:schemeClr w14:val="tx1"/>
                  </w14:solidFill>
                </w14:textFill>
              </w:rPr>
              <w:t>搅拌</w:t>
            </w:r>
            <w:r>
              <w:rPr>
                <w:rFonts w:ascii="Times New Roman" w:hAnsi="Times New Roman" w:eastAsia="宋体" w:cs="Times New Roman"/>
                <w:color w:val="000000" w:themeColor="text1"/>
                <w:sz w:val="24"/>
                <w:szCs w:val="24"/>
                <w:highlight w:val="none"/>
                <w14:textFill>
                  <w14:solidFill>
                    <w14:schemeClr w14:val="tx1"/>
                  </w14:solidFill>
                </w14:textFill>
              </w:rPr>
              <w:t>用水采用压力供水。</w:t>
            </w:r>
          </w:p>
          <w:p w14:paraId="216F5B7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val="en-US" w:eastAsia="zh-CN"/>
                <w14:textFill>
                  <w14:solidFill>
                    <w14:schemeClr w14:val="tx1"/>
                  </w14:solidFill>
                </w14:textFill>
              </w:rPr>
              <w:t>3</w:t>
            </w:r>
            <w:r>
              <w:rPr>
                <w:rFonts w:hint="eastAsia" w:ascii="Times New Roman" w:hAnsi="Times New Roman" w:eastAsia="宋体"/>
                <w:b/>
                <w:bCs/>
                <w:color w:val="000000" w:themeColor="text1"/>
                <w:sz w:val="24"/>
                <w:highlight w:val="none"/>
                <w14:textFill>
                  <w14:solidFill>
                    <w14:schemeClr w14:val="tx1"/>
                  </w14:solidFill>
                </w14:textFill>
              </w:rPr>
              <w:t>、混凝土生产工艺</w:t>
            </w:r>
          </w:p>
          <w:p w14:paraId="1EBDFEE5">
            <w:pPr>
              <w:keepNext w:val="0"/>
              <w:keepLines w:val="0"/>
              <w:pageBreakBefore w:val="0"/>
              <w:widowControl w:val="0"/>
              <w:kinsoku/>
              <w:wordWrap/>
              <w:overflowPunct/>
              <w:topLinePunct w:val="0"/>
              <w:autoSpaceDE/>
              <w:autoSpaceDN/>
              <w:bidi w:val="0"/>
              <w:adjustRightInd w:val="0"/>
              <w:snapToGrid w:val="0"/>
              <w:jc w:val="center"/>
              <w:textAlignment w:val="auto"/>
              <w:rPr>
                <w:rFonts w:ascii="Times New Roman" w:hAnsi="Times New Roman" w:eastAsia="宋体"/>
                <w:b/>
                <w:bCs/>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object>
                <v:shape id="_x0000_i1029" o:spt="75" type="#_x0000_t75" style="height:239.4pt;width:355.3pt;" o:ole="t" filled="f" o:preferrelative="t" stroked="f" coordsize="21600,21600">
                  <v:path/>
                  <v:fill on="f" focussize="0,0"/>
                  <v:stroke on="f"/>
                  <v:imagedata r:id="rId22" o:title=""/>
                  <o:lock v:ext="edit" aspectratio="f"/>
                  <w10:wrap type="none"/>
                  <w10:anchorlock/>
                </v:shape>
                <o:OLEObject Type="Embed" ProgID="Visio.Drawing.15" ShapeID="_x0000_i1029" DrawAspect="Content" ObjectID="_1468075729" r:id="rId21">
                  <o:LockedField>false</o:LockedField>
                </o:OLEObject>
              </w:object>
            </w:r>
          </w:p>
          <w:p w14:paraId="27659C3A">
            <w:pPr>
              <w:keepNext w:val="0"/>
              <w:keepLines w:val="0"/>
              <w:pageBreakBefore w:val="0"/>
              <w:widowControl w:val="0"/>
              <w:kinsoku/>
              <w:wordWrap/>
              <w:overflowPunct/>
              <w:topLinePunct w:val="0"/>
              <w:autoSpaceDE/>
              <w:autoSpaceDN/>
              <w:bidi w:val="0"/>
              <w:adjustRightInd w:val="0"/>
              <w:snapToGrid w:val="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6</w:t>
            </w:r>
            <w:r>
              <w:rPr>
                <w:rFonts w:hint="eastAsia" w:ascii="Times New Roman" w:hAnsi="Times New Roman" w:eastAsia="宋体"/>
                <w:b/>
                <w:bCs/>
                <w:color w:val="000000" w:themeColor="text1"/>
                <w:szCs w:val="21"/>
                <w:highlight w:val="none"/>
                <w14:textFill>
                  <w14:solidFill>
                    <w14:schemeClr w14:val="tx1"/>
                  </w14:solidFill>
                </w14:textFill>
              </w:rPr>
              <w:t xml:space="preserve">    混凝土生产工艺流程及产排污图</w:t>
            </w:r>
          </w:p>
          <w:p w14:paraId="640BB07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p>
          <w:p w14:paraId="1CD18C5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原辅料：</w:t>
            </w:r>
            <w:r>
              <w:rPr>
                <w:rFonts w:hint="eastAsia" w:ascii="Times New Roman" w:hAnsi="Times New Roman" w:eastAsia="宋体"/>
                <w:color w:val="000000" w:themeColor="text1"/>
                <w:sz w:val="24"/>
                <w:highlight w:val="none"/>
                <w14:textFill>
                  <w14:solidFill>
                    <w14:schemeClr w14:val="tx1"/>
                  </w14:solidFill>
                </w14:textFill>
              </w:rPr>
              <w:t>生产所需要的原料有水泥（粉料）、粉煤灰（粉料）、</w:t>
            </w:r>
            <w:r>
              <w:rPr>
                <w:rFonts w:hint="eastAsia" w:ascii="Times New Roman" w:hAnsi="Times New Roman" w:eastAsia="宋体"/>
                <w:color w:val="000000" w:themeColor="text1"/>
                <w:sz w:val="24"/>
                <w:highlight w:val="none"/>
                <w:lang w:eastAsia="zh-CN"/>
                <w14:textFill>
                  <w14:solidFill>
                    <w14:schemeClr w14:val="tx1"/>
                  </w14:solidFill>
                </w14:textFill>
              </w:rPr>
              <w:t>砂石骨料</w:t>
            </w:r>
            <w:r>
              <w:rPr>
                <w:rFonts w:hint="eastAsia" w:ascii="Times New Roman" w:hAnsi="Times New Roman" w:eastAsia="宋体"/>
                <w:color w:val="000000" w:themeColor="text1"/>
                <w:sz w:val="24"/>
                <w:highlight w:val="none"/>
                <w14:textFill>
                  <w14:solidFill>
                    <w14:schemeClr w14:val="tx1"/>
                  </w14:solidFill>
                </w14:textFill>
              </w:rPr>
              <w:t>、水</w:t>
            </w:r>
            <w:r>
              <w:rPr>
                <w:rFonts w:hint="eastAsia" w:ascii="Times New Roman" w:hAnsi="Times New Roman" w:eastAsia="宋体"/>
                <w:color w:val="000000" w:themeColor="text1"/>
                <w:sz w:val="24"/>
                <w:highlight w:val="none"/>
                <w:lang w:eastAsia="zh-CN"/>
                <w14:textFill>
                  <w14:solidFill>
                    <w14:schemeClr w14:val="tx1"/>
                  </w14:solidFill>
                </w14:textFill>
              </w:rPr>
              <w:t>等</w:t>
            </w:r>
            <w:r>
              <w:rPr>
                <w:rFonts w:hint="eastAsia" w:ascii="Times New Roman" w:hAnsi="Times New Roman" w:eastAsia="宋体"/>
                <w:color w:val="000000" w:themeColor="text1"/>
                <w:sz w:val="24"/>
                <w:highlight w:val="none"/>
                <w14:textFill>
                  <w14:solidFill>
                    <w14:schemeClr w14:val="tx1"/>
                  </w14:solidFill>
                </w14:textFill>
              </w:rPr>
              <w:t>。其中，水泥、粉煤灰等原料采用密闭罐装车运输到厂区后，压力输入相应原料筒仓内储存；</w:t>
            </w:r>
            <w:r>
              <w:rPr>
                <w:rFonts w:hint="eastAsia" w:ascii="Times New Roman" w:hAnsi="Times New Roman" w:eastAsia="宋体"/>
                <w:color w:val="000000" w:themeColor="text1"/>
                <w:sz w:val="24"/>
                <w:highlight w:val="none"/>
                <w:lang w:eastAsia="zh-CN"/>
                <w14:textFill>
                  <w14:solidFill>
                    <w14:schemeClr w14:val="tx1"/>
                  </w14:solidFill>
                </w14:textFill>
              </w:rPr>
              <w:t>砂石骨料由项目碎石加工场区生产</w:t>
            </w:r>
            <w:r>
              <w:rPr>
                <w:rFonts w:hint="eastAsia" w:ascii="Times New Roman" w:hAnsi="Times New Roman" w:eastAsia="宋体"/>
                <w:color w:val="000000" w:themeColor="text1"/>
                <w:sz w:val="24"/>
                <w:highlight w:val="none"/>
                <w14:textFill>
                  <w14:solidFill>
                    <w14:schemeClr w14:val="tx1"/>
                  </w14:solidFill>
                </w14:textFill>
              </w:rPr>
              <w:t>。</w:t>
            </w:r>
          </w:p>
          <w:p w14:paraId="4D8C9A2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骨料称量、输送：</w:t>
            </w:r>
            <w:r>
              <w:rPr>
                <w:rFonts w:hint="eastAsia" w:ascii="Times New Roman" w:hAnsi="Times New Roman" w:eastAsia="宋体"/>
                <w:color w:val="000000" w:themeColor="text1"/>
                <w:sz w:val="24"/>
                <w:highlight w:val="none"/>
                <w14:textFill>
                  <w14:solidFill>
                    <w14:schemeClr w14:val="tx1"/>
                  </w14:solidFill>
                </w14:textFill>
              </w:rPr>
              <w:t>混凝土生产时各种骨料用装载机经由砂石骨料成品储存仓转运至进料仓（共</w:t>
            </w:r>
            <w:r>
              <w:rPr>
                <w:rFonts w:hint="eastAsia" w:ascii="Times New Roman" w:hAnsi="Times New Roman" w:eastAsia="宋体"/>
                <w:color w:val="000000" w:themeColor="text1"/>
                <w:sz w:val="24"/>
                <w:highlight w:val="none"/>
                <w:lang w:val="en-US" w:eastAsia="zh-CN"/>
                <w14:textFill>
                  <w14:solidFill>
                    <w14:schemeClr w14:val="tx1"/>
                  </w14:solidFill>
                </w14:textFill>
              </w:rPr>
              <w:t>10</w:t>
            </w:r>
            <w:r>
              <w:rPr>
                <w:rFonts w:hint="eastAsia" w:ascii="Times New Roman" w:hAnsi="Times New Roman" w:eastAsia="宋体"/>
                <w:color w:val="000000" w:themeColor="text1"/>
                <w:sz w:val="24"/>
                <w:highlight w:val="none"/>
                <w14:textFill>
                  <w14:solidFill>
                    <w14:schemeClr w14:val="tx1"/>
                  </w14:solidFill>
                </w14:textFill>
              </w:rPr>
              <w:t>个，</w:t>
            </w:r>
            <w:r>
              <w:rPr>
                <w:rFonts w:hint="eastAsia" w:ascii="Times New Roman" w:hAnsi="Times New Roman" w:eastAsia="宋体"/>
                <w:color w:val="000000" w:themeColor="text1"/>
                <w:sz w:val="24"/>
                <w:highlight w:val="none"/>
                <w:lang w:val="en-US" w:eastAsia="zh-CN"/>
                <w14:textFill>
                  <w14:solidFill>
                    <w14:schemeClr w14:val="tx1"/>
                  </w14:solidFill>
                </w14:textFill>
              </w:rPr>
              <w:t>2.4</w:t>
            </w:r>
            <w:r>
              <w:rPr>
                <w:rFonts w:hint="eastAsia" w:ascii="Times New Roman" w:hAnsi="Times New Roman" w:eastAsia="宋体"/>
                <w:color w:val="000000" w:themeColor="text1"/>
                <w:sz w:val="24"/>
                <w:highlight w:val="none"/>
                <w14:textFill>
                  <w14:solidFill>
                    <w14:schemeClr w14:val="tx1"/>
                  </w14:solidFill>
                </w14:textFill>
              </w:rPr>
              <w:t>m</w:t>
            </w:r>
            <w:r>
              <w:rPr>
                <w:rFonts w:hint="eastAsia" w:ascii="Times New Roman" w:hAnsi="Times New Roman" w:eastAsia="宋体"/>
                <w:color w:val="000000" w:themeColor="text1"/>
                <w:sz w:val="24"/>
                <w:highlight w:val="none"/>
                <w:vertAlign w:val="superscript"/>
                <w14:textFill>
                  <w14:solidFill>
                    <w14:schemeClr w14:val="tx1"/>
                  </w14:solidFill>
                </w14:textFill>
              </w:rPr>
              <w:t>3</w:t>
            </w:r>
            <w:r>
              <w:rPr>
                <w:rFonts w:hint="eastAsia" w:ascii="Times New Roman" w:hAnsi="Times New Roman" w:eastAsia="宋体"/>
                <w:color w:val="000000" w:themeColor="text1"/>
                <w:sz w:val="24"/>
                <w:highlight w:val="none"/>
                <w14:textFill>
                  <w14:solidFill>
                    <w14:schemeClr w14:val="tx1"/>
                  </w14:solidFill>
                </w14:textFill>
              </w:rPr>
              <w:t>/个，锥形钢质结构）内，各料斗下方设置有竖直安装的两个卸料门，以实现计量时的粗称和精称，每个卸料门通过1套吊挂于卸料门底舱上的传感器进行称量，传感器发出的信号经处理后送往微机控制系统，转换变成物料重量值通过二次仪表显示出来，卸料口置于地下0.5m，骨料配料完毕，由水平皮带运输机送入倾斜式皮带运输机中，经倾斜的皮带输送至搅拌站主机的缓存料斗中备用</w:t>
            </w:r>
            <w:r>
              <w:rPr>
                <w:rFonts w:hint="eastAsia" w:ascii="Times New Roman" w:hAnsi="Times New Roman" w:eastAsia="宋体"/>
                <w:color w:val="000000" w:themeColor="text1"/>
                <w:sz w:val="24"/>
                <w:highlight w:val="none"/>
                <w:lang w:eastAsia="zh-CN"/>
                <w14:textFill>
                  <w14:solidFill>
                    <w14:schemeClr w14:val="tx1"/>
                  </w14:solidFill>
                </w14:textFill>
              </w:rPr>
              <w:t>，本项目皮带运输机均为封闭式</w:t>
            </w:r>
            <w:r>
              <w:rPr>
                <w:rFonts w:hint="eastAsia" w:ascii="Times New Roman" w:hAnsi="Times New Roman" w:eastAsia="宋体"/>
                <w:color w:val="000000" w:themeColor="text1"/>
                <w:sz w:val="24"/>
                <w:highlight w:val="none"/>
                <w14:textFill>
                  <w14:solidFill>
                    <w14:schemeClr w14:val="tx1"/>
                  </w14:solidFill>
                </w14:textFill>
              </w:rPr>
              <w:t>。</w:t>
            </w:r>
          </w:p>
          <w:p w14:paraId="2FABDEE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水泥、粉煤灰</w:t>
            </w:r>
            <w:r>
              <w:rPr>
                <w:rFonts w:hint="eastAsia" w:ascii="Times New Roman" w:hAnsi="Times New Roman" w:eastAsia="宋体"/>
                <w:b/>
                <w:bCs/>
                <w:color w:val="000000" w:themeColor="text1"/>
                <w:sz w:val="24"/>
                <w:highlight w:val="none"/>
                <w:lang w:eastAsia="zh-CN"/>
                <w14:textFill>
                  <w14:solidFill>
                    <w14:schemeClr w14:val="tx1"/>
                  </w14:solidFill>
                </w14:textFill>
              </w:rPr>
              <w:t>等粉料</w:t>
            </w:r>
            <w:r>
              <w:rPr>
                <w:rFonts w:hint="eastAsia" w:ascii="Times New Roman" w:hAnsi="Times New Roman" w:eastAsia="宋体"/>
                <w:b/>
                <w:bCs/>
                <w:color w:val="000000" w:themeColor="text1"/>
                <w:sz w:val="24"/>
                <w:highlight w:val="none"/>
                <w14:textFill>
                  <w14:solidFill>
                    <w14:schemeClr w14:val="tx1"/>
                  </w14:solidFill>
                </w14:textFill>
              </w:rPr>
              <w:t>称量、输送：</w:t>
            </w:r>
            <w:r>
              <w:rPr>
                <w:rFonts w:hint="eastAsia" w:ascii="Times New Roman" w:hAnsi="Times New Roman" w:eastAsia="宋体"/>
                <w:color w:val="000000" w:themeColor="text1"/>
                <w:sz w:val="24"/>
                <w:highlight w:val="none"/>
                <w14:textFill>
                  <w14:solidFill>
                    <w14:schemeClr w14:val="tx1"/>
                  </w14:solidFill>
                </w14:textFill>
              </w:rPr>
              <w:t>水泥、粉煤灰</w:t>
            </w:r>
            <w:r>
              <w:rPr>
                <w:rFonts w:hint="eastAsia" w:ascii="Times New Roman" w:hAnsi="Times New Roman" w:eastAsia="宋体"/>
                <w:color w:val="000000" w:themeColor="text1"/>
                <w:sz w:val="24"/>
                <w:highlight w:val="none"/>
                <w:lang w:eastAsia="zh-CN"/>
                <w14:textFill>
                  <w14:solidFill>
                    <w14:schemeClr w14:val="tx1"/>
                  </w14:solidFill>
                </w14:textFill>
              </w:rPr>
              <w:t>等粉料</w:t>
            </w:r>
            <w:r>
              <w:rPr>
                <w:rFonts w:hint="eastAsia" w:ascii="Times New Roman" w:hAnsi="Times New Roman" w:eastAsia="宋体"/>
                <w:color w:val="000000" w:themeColor="text1"/>
                <w:sz w:val="24"/>
                <w:highlight w:val="none"/>
                <w14:textFill>
                  <w14:solidFill>
                    <w14:schemeClr w14:val="tx1"/>
                  </w14:solidFill>
                </w14:textFill>
              </w:rPr>
              <w:t>储存于储料罐内，需要时开启蝶阀，粉料落入密闭螺旋给料机，由螺旋给料机送入搅拌楼，经相应的称量斗称量后由闸门控制进入搅拌机，此过程全密闭，会产生噪声。</w:t>
            </w:r>
          </w:p>
          <w:p w14:paraId="6BF0C97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外加剂、水称量、输送：</w:t>
            </w:r>
            <w:r>
              <w:rPr>
                <w:rFonts w:hint="eastAsia" w:ascii="Times New Roman" w:hAnsi="Times New Roman" w:eastAsia="宋体"/>
                <w:color w:val="000000" w:themeColor="text1"/>
                <w:sz w:val="24"/>
                <w:highlight w:val="none"/>
                <w14:textFill>
                  <w14:solidFill>
                    <w14:schemeClr w14:val="tx1"/>
                  </w14:solidFill>
                </w14:textFill>
              </w:rPr>
              <w:t>外加剂和水均由相应的计量称称量，由水泵均匀的送入搅拌机。</w:t>
            </w:r>
          </w:p>
          <w:p w14:paraId="1A26D89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b/>
                <w:bCs/>
                <w:color w:val="000000" w:themeColor="text1"/>
                <w:sz w:val="24"/>
                <w:highlight w:val="none"/>
                <w14:textFill>
                  <w14:solidFill>
                    <w14:schemeClr w14:val="tx1"/>
                  </w14:solidFill>
                </w14:textFill>
              </w:rPr>
              <w:t>搅拌</w:t>
            </w:r>
            <w:r>
              <w:rPr>
                <w:rFonts w:hint="eastAsia" w:ascii="Times New Roman" w:hAnsi="Times New Roman" w:eastAsia="宋体"/>
                <w:b/>
                <w:bCs/>
                <w:color w:val="000000" w:themeColor="text1"/>
                <w:sz w:val="24"/>
                <w:highlight w:val="none"/>
                <w14:textFill>
                  <w14:solidFill>
                    <w14:schemeClr w14:val="tx1"/>
                  </w14:solidFill>
                </w14:textFill>
              </w:rPr>
              <w:t>：</w:t>
            </w:r>
            <w:r>
              <w:rPr>
                <w:rFonts w:ascii="Times New Roman" w:hAnsi="Times New Roman" w:eastAsia="宋体"/>
                <w:color w:val="000000" w:themeColor="text1"/>
                <w:sz w:val="24"/>
                <w:highlight w:val="none"/>
                <w14:textFill>
                  <w14:solidFill>
                    <w14:schemeClr w14:val="tx1"/>
                  </w14:solidFill>
                </w14:textFill>
              </w:rPr>
              <w:t>搅拌过程在封闭的站房内完成。本项目混凝土搅拌机为立轴行星式搅拌机，采用微机控制，集运作、监控、管理于一体。搅拌机配备多重轴端密封保护装置及风压密封保护装置，并置于封闭的站房内，有效杜绝漏浆现象发生。独有的搅拌机监控系统可随时监控减速箱、卸料泵、电动润滑油泵的工作状态。</w:t>
            </w:r>
          </w:p>
          <w:p w14:paraId="69E185B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各种骨料、粉料（水泥、粉煤灰）、水和减水剂配料完毕后，微机操控各缓存料斗和称量斗同时将各物料加入搅拌机中进行搅拌（搅拌过程在封闭的站房内完成）</w:t>
            </w:r>
            <w:r>
              <w:rPr>
                <w:rFonts w:hint="eastAsia" w:ascii="Times New Roman" w:hAnsi="Times New Roman" w:eastAsia="宋体"/>
                <w:color w:val="000000" w:themeColor="text1"/>
                <w:sz w:val="24"/>
                <w:highlight w:val="none"/>
                <w:lang w:eastAsia="zh-CN"/>
                <w14:textFill>
                  <w14:solidFill>
                    <w14:schemeClr w14:val="tx1"/>
                  </w14:solidFill>
                </w14:textFill>
              </w:rPr>
              <w:t>，站房内设置布袋除尘装置及喷雾降尘装置</w:t>
            </w:r>
            <w:r>
              <w:rPr>
                <w:rFonts w:ascii="Times New Roman" w:hAnsi="Times New Roman" w:eastAsia="宋体"/>
                <w:color w:val="000000" w:themeColor="text1"/>
                <w:sz w:val="24"/>
                <w:highlight w:val="none"/>
                <w14:textFill>
                  <w14:solidFill>
                    <w14:schemeClr w14:val="tx1"/>
                  </w14:solidFill>
                </w14:textFill>
              </w:rPr>
              <w:t>。</w:t>
            </w:r>
          </w:p>
          <w:p w14:paraId="2D9741F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该环节主要污染物为混凝土搅拌机清洗产生的清洗废水及搅拌过程中产生的噪声。</w:t>
            </w:r>
          </w:p>
          <w:p w14:paraId="2EF479D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混凝土运输：</w:t>
            </w:r>
            <w:r>
              <w:rPr>
                <w:rFonts w:ascii="Times New Roman" w:hAnsi="Times New Roman" w:eastAsia="宋体"/>
                <w:color w:val="000000" w:themeColor="text1"/>
                <w:sz w:val="24"/>
                <w:highlight w:val="none"/>
                <w14:textFill>
                  <w14:solidFill>
                    <w14:schemeClr w14:val="tx1"/>
                  </w14:solidFill>
                </w14:textFill>
              </w:rPr>
              <w:t>搅拌完毕后关闭搅拌机，打开搅拌机底部的放料口，成品即从放料口落入正下方的混凝土运输罐车料斗。该环节主要污染物为混凝土罐车清洗产生的清洗废水以及混凝土运输过程中产生的噪声。</w:t>
            </w:r>
          </w:p>
          <w:p w14:paraId="6718AC4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val="en-US" w:eastAsia="zh-CN"/>
                <w14:textFill>
                  <w14:solidFill>
                    <w14:schemeClr w14:val="tx1"/>
                  </w14:solidFill>
                </w14:textFill>
              </w:rPr>
              <w:t>4</w:t>
            </w:r>
            <w:r>
              <w:rPr>
                <w:rFonts w:hint="eastAsia" w:ascii="Times New Roman" w:hAnsi="Times New Roman" w:eastAsia="宋体"/>
                <w:b/>
                <w:bCs/>
                <w:color w:val="000000" w:themeColor="text1"/>
                <w:sz w:val="24"/>
                <w:highlight w:val="none"/>
                <w14:textFill>
                  <w14:solidFill>
                    <w14:schemeClr w14:val="tx1"/>
                  </w14:solidFill>
                </w14:textFill>
              </w:rPr>
              <w:t>、钢筋结构件生产工艺</w:t>
            </w:r>
          </w:p>
          <w:p w14:paraId="01A460D4">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2575560" cy="3183255"/>
                  <wp:effectExtent l="0" t="0" r="15240" b="1714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3"/>
                          <a:stretch>
                            <a:fillRect/>
                          </a:stretch>
                        </pic:blipFill>
                        <pic:spPr>
                          <a:xfrm>
                            <a:off x="0" y="0"/>
                            <a:ext cx="2575560" cy="3183255"/>
                          </a:xfrm>
                          <a:prstGeom prst="rect">
                            <a:avLst/>
                          </a:prstGeom>
                          <a:noFill/>
                          <a:ln>
                            <a:noFill/>
                          </a:ln>
                        </pic:spPr>
                      </pic:pic>
                    </a:graphicData>
                  </a:graphic>
                </wp:inline>
              </w:drawing>
            </w:r>
          </w:p>
          <w:p w14:paraId="48126CD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b/>
                <w:bCs/>
                <w:color w:val="000000" w:themeColor="text1"/>
                <w:sz w:val="21"/>
                <w:szCs w:val="20"/>
                <w:highlight w:val="none"/>
                <w14:textFill>
                  <w14:solidFill>
                    <w14:schemeClr w14:val="tx1"/>
                  </w14:solidFill>
                </w14:textFill>
              </w:rPr>
            </w:pPr>
            <w:r>
              <w:rPr>
                <w:rFonts w:hint="eastAsia" w:ascii="Times New Roman" w:hAnsi="Times New Roman" w:eastAsia="宋体"/>
                <w:b/>
                <w:bCs/>
                <w:color w:val="000000" w:themeColor="text1"/>
                <w:sz w:val="21"/>
                <w:szCs w:val="20"/>
                <w:highlight w:val="none"/>
                <w14:textFill>
                  <w14:solidFill>
                    <w14:schemeClr w14:val="tx1"/>
                  </w14:solidFill>
                </w14:textFill>
              </w:rPr>
              <w:t>图2</w:t>
            </w:r>
            <w:r>
              <w:rPr>
                <w:rFonts w:hint="eastAsia" w:ascii="Times New Roman" w:hAnsi="Times New Roman" w:eastAsia="宋体"/>
                <w:b/>
                <w:bCs/>
                <w:color w:val="000000" w:themeColor="text1"/>
                <w:sz w:val="21"/>
                <w:szCs w:val="20"/>
                <w:highlight w:val="none"/>
                <w:lang w:val="en-US" w:eastAsia="zh-CN"/>
                <w14:textFill>
                  <w14:solidFill>
                    <w14:schemeClr w14:val="tx1"/>
                  </w14:solidFill>
                </w14:textFill>
              </w:rPr>
              <w:t>-7</w:t>
            </w:r>
            <w:r>
              <w:rPr>
                <w:rFonts w:hint="eastAsia" w:ascii="Times New Roman" w:hAnsi="Times New Roman" w:eastAsia="宋体"/>
                <w:b/>
                <w:bCs/>
                <w:color w:val="000000" w:themeColor="text1"/>
                <w:sz w:val="21"/>
                <w:szCs w:val="20"/>
                <w:highlight w:val="none"/>
                <w14:textFill>
                  <w14:solidFill>
                    <w14:schemeClr w14:val="tx1"/>
                  </w14:solidFill>
                </w14:textFill>
              </w:rPr>
              <w:t xml:space="preserve">    钢筋结构件生产工艺流程</w:t>
            </w:r>
          </w:p>
          <w:p w14:paraId="00EBE576">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p>
          <w:p w14:paraId="61C61721">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运输储存</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项目所需钢筋由运输汽车从外部运往钢筋厂内，厂内仅储存少量钢筋，采用边生产、边外购钢筋原料的方式生产钢筋加工件。此步骤产生噪声。</w:t>
            </w:r>
          </w:p>
          <w:p w14:paraId="4820A26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钢筋备料</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钢筋表面的油渍，漆污，水泥浆和用锤敲击能剥落的浮皮，铁锈等均应清理干净，钢筋应平直，无局部弯折。此步骤产生噪声及废金属屑。</w:t>
            </w:r>
          </w:p>
          <w:p w14:paraId="33D8CB4F">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机械检查使用</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使用全自动液压钢筋调直切断机</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、数控钢筋弯曲中心、</w:t>
            </w:r>
            <w:r>
              <w:rPr>
                <w:rFonts w:hint="eastAsia" w:ascii="Times New Roman" w:hAnsi="Times New Roman" w:eastAsia="宋体"/>
                <w:b w:val="0"/>
                <w:bCs w:val="0"/>
                <w:color w:val="000000" w:themeColor="text1"/>
                <w:sz w:val="24"/>
                <w:highlight w:val="none"/>
                <w14:textFill>
                  <w14:solidFill>
                    <w14:schemeClr w14:val="tx1"/>
                  </w14:solidFill>
                </w14:textFill>
              </w:rPr>
              <w:t>数控钢筋弯箍机</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等设备</w:t>
            </w:r>
            <w:r>
              <w:rPr>
                <w:rFonts w:hint="eastAsia" w:ascii="Times New Roman" w:hAnsi="Times New Roman" w:eastAsia="宋体"/>
                <w:b w:val="0"/>
                <w:bCs w:val="0"/>
                <w:color w:val="000000" w:themeColor="text1"/>
                <w:sz w:val="24"/>
                <w:highlight w:val="none"/>
                <w14:textFill>
                  <w14:solidFill>
                    <w14:schemeClr w14:val="tx1"/>
                  </w14:solidFill>
                </w14:textFill>
              </w:rPr>
              <w:t>应遵守钢筋机械安全技术操作规程，先检查后使用，使用后切断电源，设备应做好“十字作业”（清洁，润滑，调整，紧固，防腐）。</w:t>
            </w:r>
          </w:p>
          <w:p w14:paraId="6CFA6D6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下料、加工</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弯曲钢筋下料长度=总长度(扣除保护层后，钢筋外皮尺寸)+斜段增加长度-弯折量度差+端部弯钩增长值（根据设计图计算，设计无规定时设标准弯钩），箍筋下料长度=箍筋周长-10d箍筋直径+箍脚长度(不小于5d和50mm)。根据下料长度和设计图纸编制配料单，钢架下料依据配料单进行。使用切断机断料时不能超过机械的负载能力，在活动刀片前进时禁止送料，送料时距离刀口的距离不得小于15mm。此步骤产生噪声及废金属屑。</w:t>
            </w:r>
          </w:p>
          <w:p w14:paraId="401F874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焊接</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经初步加工后的钢筋再通过</w:t>
            </w:r>
            <w:r>
              <w:rPr>
                <w:rFonts w:hint="default" w:ascii="Times New Roman" w:hAnsi="Times New Roman" w:eastAsia="宋体" w:cs="Times New Roman"/>
                <w:color w:val="000000" w:themeColor="text1"/>
                <w:sz w:val="24"/>
                <w:szCs w:val="24"/>
                <w:highlight w:val="none"/>
                <w14:textFill>
                  <w14:solidFill>
                    <w14:schemeClr w14:val="tx1"/>
                  </w14:solidFill>
                </w14:textFill>
              </w:rPr>
              <w:t>钢筋笼滚焊机</w:t>
            </w:r>
            <w:r>
              <w:rPr>
                <w:rFonts w:hint="eastAsia" w:ascii="Times New Roman" w:hAnsi="Times New Roman" w:eastAsia="宋体"/>
                <w:b w:val="0"/>
                <w:bCs w:val="0"/>
                <w:color w:val="000000" w:themeColor="text1"/>
                <w:sz w:val="24"/>
                <w:highlight w:val="none"/>
                <w14:textFill>
                  <w14:solidFill>
                    <w14:schemeClr w14:val="tx1"/>
                  </w14:solidFill>
                </w14:textFill>
              </w:rPr>
              <w:t>进行焊接，此步骤使用焊料将产生焊烟尘排放，还会产生噪声及焊渣。钢筋加工厂房全密闭，并设置</w:t>
            </w:r>
            <w:r>
              <w:rPr>
                <w:rFonts w:hint="eastAsia" w:ascii="Times New Roman" w:hAnsi="Times New Roman" w:eastAsia="宋体"/>
                <w:b w:val="0"/>
                <w:bCs w:val="0"/>
                <w:color w:val="000000" w:themeColor="text1"/>
                <w:sz w:val="24"/>
                <w:highlight w:val="none"/>
                <w:lang w:val="en-US" w:eastAsia="zh-CN"/>
                <w14:textFill>
                  <w14:solidFill>
                    <w14:schemeClr w14:val="tx1"/>
                  </w14:solidFill>
                </w14:textFill>
              </w:rPr>
              <w:t>2</w:t>
            </w:r>
            <w:r>
              <w:rPr>
                <w:rFonts w:hint="eastAsia" w:ascii="Times New Roman" w:hAnsi="Times New Roman" w:eastAsia="宋体"/>
                <w:b w:val="0"/>
                <w:bCs w:val="0"/>
                <w:color w:val="000000" w:themeColor="text1"/>
                <w:sz w:val="24"/>
                <w:highlight w:val="none"/>
                <w14:textFill>
                  <w14:solidFill>
                    <w14:schemeClr w14:val="tx1"/>
                  </w14:solidFill>
                </w14:textFill>
              </w:rPr>
              <w:t>台移动式焊烟除尘装置收集处理焊接产生的焊烟。</w:t>
            </w:r>
          </w:p>
          <w:p w14:paraId="102EA11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eastAsia="zh-CN"/>
                <w14:textFill>
                  <w14:solidFill>
                    <w14:schemeClr w14:val="tx1"/>
                  </w14:solidFill>
                </w14:textFill>
              </w:rPr>
              <w:t>检验：</w:t>
            </w:r>
            <w:r>
              <w:rPr>
                <w:rFonts w:hint="eastAsia" w:ascii="Times New Roman" w:hAnsi="Times New Roman" w:eastAsia="宋体"/>
                <w:b w:val="0"/>
                <w:bCs w:val="0"/>
                <w:color w:val="000000" w:themeColor="text1"/>
                <w:sz w:val="24"/>
                <w:highlight w:val="none"/>
                <w14:textFill>
                  <w14:solidFill>
                    <w14:schemeClr w14:val="tx1"/>
                  </w14:solidFill>
                </w14:textFill>
              </w:rPr>
              <w:t>检验钢筋焊接强度、规格是否达标，达标的</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采用</w:t>
            </w:r>
            <w:r>
              <w:rPr>
                <w:rFonts w:hint="default" w:ascii="Times New Roman" w:hAnsi="Times New Roman" w:eastAsia="宋体" w:cs="Times New Roman"/>
                <w:color w:val="000000" w:themeColor="text1"/>
                <w:sz w:val="24"/>
                <w:szCs w:val="24"/>
                <w:highlight w:val="none"/>
                <w14:textFill>
                  <w14:solidFill>
                    <w14:schemeClr w14:val="tx1"/>
                  </w14:solidFill>
                </w14:textFill>
              </w:rPr>
              <w:t>滚丝机</w:t>
            </w:r>
            <w:r>
              <w:rPr>
                <w:rFonts w:hint="eastAsia" w:ascii="Times New Roman" w:hAnsi="Times New Roman" w:eastAsia="宋体"/>
                <w:b w:val="0"/>
                <w:bCs w:val="0"/>
                <w:color w:val="000000" w:themeColor="text1"/>
                <w:sz w:val="24"/>
                <w:highlight w:val="none"/>
                <w14:textFill>
                  <w14:solidFill>
                    <w14:schemeClr w14:val="tx1"/>
                  </w14:solidFill>
                </w14:textFill>
              </w:rPr>
              <w:t>绑扎好即送存放区存放，等待出运。不达标的进行重新加工。</w:t>
            </w:r>
          </w:p>
          <w:p w14:paraId="010D0FD9">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val="0"/>
                <w:bCs w:val="0"/>
                <w:color w:val="000000" w:themeColor="text1"/>
                <w:sz w:val="24"/>
                <w:highlight w:val="none"/>
                <w14:textFill>
                  <w14:solidFill>
                    <w14:schemeClr w14:val="tx1"/>
                  </w14:solidFill>
                </w14:textFill>
              </w:rPr>
              <w:t>加工好的钢筋应编号，分类存放，并做好标识。钢筋存放场地需进行硬化，有防雨防潮措施。</w:t>
            </w:r>
          </w:p>
          <w:p w14:paraId="3B1DCD78">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val="0"/>
                <w:bCs w:val="0"/>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外运</w:t>
            </w:r>
            <w:r>
              <w:rPr>
                <w:rFonts w:hint="eastAsia" w:ascii="Times New Roman" w:hAnsi="Times New Roman" w:eastAsia="宋体"/>
                <w:b/>
                <w:bCs/>
                <w:color w:val="000000" w:themeColor="text1"/>
                <w:sz w:val="24"/>
                <w:highlight w:val="none"/>
                <w:lang w:eastAsia="zh-CN"/>
                <w14:textFill>
                  <w14:solidFill>
                    <w14:schemeClr w14:val="tx1"/>
                  </w14:solidFill>
                </w14:textFill>
              </w:rPr>
              <w:t>：</w:t>
            </w:r>
            <w:r>
              <w:rPr>
                <w:rFonts w:hint="eastAsia" w:ascii="Times New Roman" w:hAnsi="Times New Roman" w:eastAsia="宋体"/>
                <w:b w:val="0"/>
                <w:bCs w:val="0"/>
                <w:color w:val="000000" w:themeColor="text1"/>
                <w:sz w:val="24"/>
                <w:highlight w:val="none"/>
                <w14:textFill>
                  <w14:solidFill>
                    <w14:schemeClr w14:val="tx1"/>
                  </w14:solidFill>
                </w14:textFill>
              </w:rPr>
              <w:t>检验合格的钢筋运往工地或制梁</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场</w:t>
            </w:r>
            <w:r>
              <w:rPr>
                <w:rFonts w:hint="eastAsia" w:ascii="Times New Roman" w:hAnsi="Times New Roman" w:eastAsia="宋体"/>
                <w:b w:val="0"/>
                <w:bCs w:val="0"/>
                <w:color w:val="000000" w:themeColor="text1"/>
                <w:sz w:val="24"/>
                <w:highlight w:val="none"/>
                <w14:textFill>
                  <w14:solidFill>
                    <w14:schemeClr w14:val="tx1"/>
                  </w14:solidFill>
                </w14:textFill>
              </w:rPr>
              <w:t>进行施工使用。</w:t>
            </w:r>
          </w:p>
          <w:p w14:paraId="6B7D965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eastAsia"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lang w:val="en-US" w:eastAsia="zh-CN"/>
                <w14:textFill>
                  <w14:solidFill>
                    <w14:schemeClr w14:val="tx1"/>
                  </w14:solidFill>
                </w14:textFill>
              </w:rPr>
              <w:t>5</w:t>
            </w:r>
            <w:r>
              <w:rPr>
                <w:rFonts w:hint="eastAsia" w:ascii="Times New Roman" w:hAnsi="Times New Roman" w:eastAsia="宋体"/>
                <w:b/>
                <w:bCs/>
                <w:color w:val="000000" w:themeColor="text1"/>
                <w:sz w:val="24"/>
                <w:highlight w:val="none"/>
                <w14:textFill>
                  <w14:solidFill>
                    <w14:schemeClr w14:val="tx1"/>
                  </w14:solidFill>
                </w14:textFill>
              </w:rPr>
              <w:t>、预制梁生产工艺</w:t>
            </w:r>
          </w:p>
          <w:p w14:paraId="7D8BBD93">
            <w:pPr>
              <w:jc w:val="center"/>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object>
                <v:shape id="_x0000_i1030" o:spt="75" type="#_x0000_t75" style="height:481.05pt;width:396.35pt;" o:ole="t" filled="f" o:preferrelative="t" stroked="f" coordsize="21600,21600">
                  <v:path/>
                  <v:fill on="f" focussize="0,0"/>
                  <v:stroke on="f"/>
                  <v:imagedata r:id="rId25" o:title=""/>
                  <o:lock v:ext="edit" aspectratio="f"/>
                  <w10:wrap type="none"/>
                  <w10:anchorlock/>
                </v:shape>
                <o:OLEObject Type="Embed" ProgID="Visio.Drawing.15" ShapeID="_x0000_i1030" DrawAspect="Content" ObjectID="_1468075730" r:id="rId24">
                  <o:LockedField>false</o:LockedField>
                </o:OLEObject>
              </w:object>
            </w:r>
          </w:p>
          <w:p w14:paraId="5330B0E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图2-</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8</w:t>
            </w:r>
            <w:r>
              <w:rPr>
                <w:rFonts w:hint="eastAsia" w:ascii="Times New Roman" w:hAnsi="Times New Roman" w:eastAsia="宋体"/>
                <w:b/>
                <w:bCs/>
                <w:color w:val="000000" w:themeColor="text1"/>
                <w:szCs w:val="21"/>
                <w:highlight w:val="none"/>
                <w14:textFill>
                  <w14:solidFill>
                    <w14:schemeClr w14:val="tx1"/>
                  </w14:solidFill>
                </w14:textFill>
              </w:rPr>
              <w:t xml:space="preserve">     预制梁生产工艺流程及产排污图</w:t>
            </w:r>
          </w:p>
          <w:p w14:paraId="0D621648">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工艺流程简述：</w:t>
            </w:r>
          </w:p>
          <w:p w14:paraId="36630DC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钢筋骨架制作：</w:t>
            </w:r>
            <w:r>
              <w:rPr>
                <w:rFonts w:hint="eastAsia" w:ascii="Times New Roman" w:hAnsi="Times New Roman" w:eastAsia="宋体"/>
                <w:color w:val="000000" w:themeColor="text1"/>
                <w:sz w:val="24"/>
                <w:highlight w:val="none"/>
                <w14:textFill>
                  <w14:solidFill>
                    <w14:schemeClr w14:val="tx1"/>
                  </w14:solidFill>
                </w14:textFill>
              </w:rPr>
              <w:t>将外购的钢筋条利用</w:t>
            </w:r>
            <w:r>
              <w:rPr>
                <w:rFonts w:hint="eastAsia" w:ascii="Times New Roman" w:hAnsi="Times New Roman" w:eastAsia="宋体"/>
                <w:b w:val="0"/>
                <w:bCs w:val="0"/>
                <w:color w:val="000000" w:themeColor="text1"/>
                <w:sz w:val="24"/>
                <w:highlight w:val="none"/>
                <w14:textFill>
                  <w14:solidFill>
                    <w14:schemeClr w14:val="tx1"/>
                  </w14:solidFill>
                </w14:textFill>
              </w:rPr>
              <w:t>全自动液压钢筋调直切断机</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、数控钢筋弯曲中心、</w:t>
            </w:r>
            <w:r>
              <w:rPr>
                <w:rFonts w:hint="eastAsia" w:ascii="Times New Roman" w:hAnsi="Times New Roman" w:eastAsia="宋体"/>
                <w:b w:val="0"/>
                <w:bCs w:val="0"/>
                <w:color w:val="000000" w:themeColor="text1"/>
                <w:sz w:val="24"/>
                <w:highlight w:val="none"/>
                <w14:textFill>
                  <w14:solidFill>
                    <w14:schemeClr w14:val="tx1"/>
                  </w14:solidFill>
                </w14:textFill>
              </w:rPr>
              <w:t>数控钢筋弯箍机</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等设备</w:t>
            </w:r>
            <w:r>
              <w:rPr>
                <w:rFonts w:hint="eastAsia" w:ascii="Times New Roman" w:hAnsi="Times New Roman" w:eastAsia="宋体"/>
                <w:color w:val="000000" w:themeColor="text1"/>
                <w:sz w:val="24"/>
                <w:highlight w:val="none"/>
                <w14:textFill>
                  <w14:solidFill>
                    <w14:schemeClr w14:val="tx1"/>
                  </w14:solidFill>
                </w14:textFill>
              </w:rPr>
              <w:t>及人工捆绑将钢筋制成所需的形状，该工序产生的污染物主要为焊接烟尘、焊渣、废钢筋及设备噪声；</w:t>
            </w:r>
          </w:p>
          <w:p w14:paraId="5EAC579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喷脱模剂：</w:t>
            </w:r>
            <w:r>
              <w:rPr>
                <w:rFonts w:hint="eastAsia" w:ascii="Times New Roman" w:hAnsi="Times New Roman" w:eastAsia="宋体"/>
                <w:color w:val="000000" w:themeColor="text1"/>
                <w:sz w:val="24"/>
                <w:highlight w:val="none"/>
                <w14:textFill>
                  <w14:solidFill>
                    <w14:schemeClr w14:val="tx1"/>
                  </w14:solidFill>
                </w14:textFill>
              </w:rPr>
              <w:t>人工利用喷雾器将脱模剂均匀的喷洒在模具内，使用脱模剂可以防止产品表面缺陷的产生，并使混凝土外表光洁，脱模剂属乳化油类隔离剂，石油润滑油，乳化剂、稳定剂等配置而成，常温下不考虑脱模剂挥发。</w:t>
            </w:r>
          </w:p>
          <w:p w14:paraId="7068493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钢筋笼</w:t>
            </w:r>
            <w:r>
              <w:rPr>
                <w:rFonts w:hint="eastAsia" w:ascii="Times New Roman" w:hAnsi="Times New Roman" w:eastAsia="宋体"/>
                <w:b/>
                <w:bCs/>
                <w:color w:val="000000" w:themeColor="text1"/>
                <w:sz w:val="24"/>
                <w:highlight w:val="none"/>
                <w:lang w:eastAsia="zh-CN"/>
                <w14:textFill>
                  <w14:solidFill>
                    <w14:schemeClr w14:val="tx1"/>
                  </w14:solidFill>
                </w14:textFill>
              </w:rPr>
              <w:t>（钢筋骨架）</w:t>
            </w:r>
            <w:r>
              <w:rPr>
                <w:rFonts w:hint="eastAsia" w:ascii="Times New Roman" w:hAnsi="Times New Roman" w:eastAsia="宋体"/>
                <w:b/>
                <w:bCs/>
                <w:color w:val="000000" w:themeColor="text1"/>
                <w:sz w:val="24"/>
                <w:highlight w:val="none"/>
                <w14:textFill>
                  <w14:solidFill>
                    <w14:schemeClr w14:val="tx1"/>
                  </w14:solidFill>
                </w14:textFill>
              </w:rPr>
              <w:t>安装：</w:t>
            </w:r>
            <w:r>
              <w:rPr>
                <w:rFonts w:hint="eastAsia" w:ascii="Times New Roman" w:hAnsi="Times New Roman" w:eastAsia="宋体"/>
                <w:color w:val="000000" w:themeColor="text1"/>
                <w:sz w:val="24"/>
                <w:highlight w:val="none"/>
                <w14:textFill>
                  <w14:solidFill>
                    <w14:schemeClr w14:val="tx1"/>
                  </w14:solidFill>
                </w14:textFill>
              </w:rPr>
              <w:t>梁内波纹管用“＃”形定位钢筋定位，固定端模处用特制的堵头通过螺栓固定在固定端模上，匹配面处则通过在波纹管内穿入外径比波纹管内径小3～5mm的PPR管定位。堵头在钢筋骨架吊装入模前在钢筋绑扎台座上安装好，并用密封胶带密封。该工序中特别注意焊接波纹管定位钢筋时损坏波纹管，定位筋焊接完成后作业人员必须仔细检查波纹管有无损伤，有损伤的立即用密封胶带密封。</w:t>
            </w:r>
          </w:p>
          <w:p w14:paraId="6F6ED57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混凝土浇筑：</w:t>
            </w:r>
            <w:r>
              <w:rPr>
                <w:rFonts w:hint="eastAsia" w:ascii="Times New Roman" w:hAnsi="Times New Roman" w:eastAsia="宋体"/>
                <w:color w:val="000000" w:themeColor="text1"/>
                <w:sz w:val="24"/>
                <w:highlight w:val="none"/>
                <w14:textFill>
                  <w14:solidFill>
                    <w14:schemeClr w14:val="tx1"/>
                  </w14:solidFill>
                </w14:textFill>
              </w:rPr>
              <w:t>本项目产生的混凝土一部分用于城南高速公路浇筑，一部分到预制厂生产预制件。由过罐车运至浇筑区浇筑，人工用铁锹铲去面层多余的混凝土，以保证面层平整；预制厂</w:t>
            </w:r>
            <w:r>
              <w:rPr>
                <w:rFonts w:hint="eastAsia" w:ascii="Times New Roman" w:hAnsi="Times New Roman" w:eastAsia="宋体"/>
                <w:color w:val="000000" w:themeColor="text1"/>
                <w:sz w:val="24"/>
                <w:highlight w:val="none"/>
                <w:lang w:eastAsia="zh-CN"/>
                <w14:textFill>
                  <w14:solidFill>
                    <w14:schemeClr w14:val="tx1"/>
                  </w14:solidFill>
                </w14:textFill>
              </w:rPr>
              <w:t>内于振动台上方浇筑。</w:t>
            </w:r>
          </w:p>
          <w:p w14:paraId="319360C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olor w:val="000000" w:themeColor="text1"/>
                <w:sz w:val="24"/>
                <w:highlight w:val="none"/>
                <w:lang w:val="en-US" w:eastAsia="zh-CN"/>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混凝土养护：</w:t>
            </w:r>
            <w:r>
              <w:rPr>
                <w:rFonts w:hint="eastAsia" w:ascii="Times New Roman" w:hAnsi="Times New Roman" w:eastAsia="宋体"/>
                <w:b w:val="0"/>
                <w:bCs w:val="0"/>
                <w:color w:val="000000" w:themeColor="text1"/>
                <w:sz w:val="24"/>
                <w:highlight w:val="none"/>
                <w:lang w:eastAsia="zh-CN"/>
                <w14:textFill>
                  <w14:solidFill>
                    <w14:schemeClr w14:val="tx1"/>
                  </w14:solidFill>
                </w14:textFill>
              </w:rPr>
              <w:t>夏季养护：</w:t>
            </w:r>
            <w:r>
              <w:rPr>
                <w:rFonts w:hint="eastAsia" w:ascii="Times New Roman" w:hAnsi="Times New Roman" w:eastAsia="宋体"/>
                <w:color w:val="000000" w:themeColor="text1"/>
                <w:sz w:val="24"/>
                <w:highlight w:val="none"/>
                <w14:textFill>
                  <w14:solidFill>
                    <w14:schemeClr w14:val="tx1"/>
                  </w14:solidFill>
                </w14:textFill>
              </w:rPr>
              <w:t>将半成品利用行吊车置于养护棚中进行自然养护，养护棚为密闭区域，养护时需人工对其浇水，每天浇一次，养护时间为1天；</w:t>
            </w:r>
            <w:r>
              <w:rPr>
                <w:rFonts w:hint="eastAsia" w:ascii="Times New Roman" w:hAnsi="Times New Roman" w:eastAsia="宋体"/>
                <w:color w:val="000000" w:themeColor="text1"/>
                <w:sz w:val="24"/>
                <w:highlight w:val="none"/>
                <w:lang w:eastAsia="zh-CN"/>
                <w14:textFill>
                  <w14:solidFill>
                    <w14:schemeClr w14:val="tx1"/>
                  </w14:solidFill>
                </w14:textFill>
              </w:rPr>
              <w:t>冬季养护：采用蒸汽发生器养护混凝土，温度</w:t>
            </w:r>
            <w:r>
              <w:rPr>
                <w:rFonts w:hint="eastAsia" w:ascii="Times New Roman" w:hAnsi="Times New Roman" w:eastAsia="宋体"/>
                <w:color w:val="000000" w:themeColor="text1"/>
                <w:sz w:val="24"/>
                <w:highlight w:val="none"/>
                <w:lang w:val="en-US" w:eastAsia="zh-CN"/>
                <w14:textFill>
                  <w14:solidFill>
                    <w14:schemeClr w14:val="tx1"/>
                  </w14:solidFill>
                </w14:textFill>
              </w:rPr>
              <w:t>20~30</w:t>
            </w:r>
            <w:r>
              <w:rPr>
                <w:rFonts w:hint="eastAsia" w:ascii="宋体" w:hAnsi="宋体" w:eastAsia="宋体" w:cs="宋体"/>
                <w:color w:val="000000" w:themeColor="text1"/>
                <w:sz w:val="24"/>
                <w:highlight w:val="none"/>
                <w:lang w:val="en-US" w:eastAsia="zh-CN"/>
                <w14:textFill>
                  <w14:solidFill>
                    <w14:schemeClr w14:val="tx1"/>
                  </w14:solidFill>
                </w14:textFill>
              </w:rPr>
              <w:t>℃；</w:t>
            </w:r>
          </w:p>
          <w:p w14:paraId="4B57855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模板拆除：</w:t>
            </w:r>
            <w:r>
              <w:rPr>
                <w:rFonts w:ascii="宋体" w:hAnsi="宋体" w:eastAsia="宋体" w:cs="宋体"/>
                <w:color w:val="000000" w:themeColor="text1"/>
                <w:sz w:val="24"/>
                <w:szCs w:val="24"/>
                <w:highlight w:val="none"/>
                <w14:textFill>
                  <w14:solidFill>
                    <w14:schemeClr w14:val="tx1"/>
                  </w14:solidFill>
                </w14:textFill>
              </w:rPr>
              <w:t>将养护后的模具缓慢的翻转，平放至托板处，利用气泵将预制构件脱模，</w:t>
            </w:r>
            <w:r>
              <w:rPr>
                <w:rFonts w:hint="eastAsia" w:ascii="宋体" w:hAnsi="宋体" w:eastAsia="宋体" w:cs="宋体"/>
                <w:color w:val="000000" w:themeColor="text1"/>
                <w:sz w:val="24"/>
                <w:szCs w:val="24"/>
                <w:highlight w:val="none"/>
                <w14:textFill>
                  <w14:solidFill>
                    <w14:schemeClr w14:val="tx1"/>
                  </w14:solidFill>
                </w14:textFill>
              </w:rPr>
              <w:t>模板拆除时先拆除内模，然后拆除外侧模，最后脱开匹配面</w:t>
            </w:r>
            <w:r>
              <w:rPr>
                <w:rFonts w:ascii="宋体" w:hAnsi="宋体" w:eastAsia="宋体" w:cs="宋体"/>
                <w:color w:val="000000" w:themeColor="text1"/>
                <w:sz w:val="24"/>
                <w:szCs w:val="24"/>
                <w:highlight w:val="none"/>
                <w14:textFill>
                  <w14:solidFill>
                    <w14:schemeClr w14:val="tx1"/>
                  </w14:solidFill>
                </w14:textFill>
              </w:rPr>
              <w:t>；</w:t>
            </w:r>
          </w:p>
          <w:p w14:paraId="555E49A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模板拆除注意事项：</w:t>
            </w:r>
          </w:p>
          <w:p w14:paraId="64E6C3C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①模板拆除注意成品保护，严禁野蛮施工造成混凝土缺损。</w:t>
            </w:r>
          </w:p>
          <w:p w14:paraId="233EA8A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②操作底模台车上的千斤顶使匹配梁与新浇梁脱开时，必须点动操作，避免造成剪力键损坏。</w:t>
            </w:r>
          </w:p>
          <w:p w14:paraId="6613240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③拆除后不用的模板应立即清理干净后分类整齐堆放于模板堆场，不得随处乱放。</w:t>
            </w:r>
          </w:p>
          <w:p w14:paraId="650085F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清理孔道：</w:t>
            </w:r>
            <w:r>
              <w:rPr>
                <w:rFonts w:hint="eastAsia" w:ascii="Times New Roman" w:hAnsi="Times New Roman" w:eastAsia="宋体"/>
                <w:color w:val="000000" w:themeColor="text1"/>
                <w:sz w:val="24"/>
                <w:highlight w:val="none"/>
                <w14:textFill>
                  <w14:solidFill>
                    <w14:schemeClr w14:val="tx1"/>
                  </w14:solidFill>
                </w14:textFill>
              </w:rPr>
              <w:t>采取人工清理孔道多余混凝土，该工序产生的污染物主要为固体废物；</w:t>
            </w:r>
          </w:p>
          <w:p w14:paraId="79EAC17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预应力筋穿束、张拉：</w:t>
            </w:r>
            <w:r>
              <w:rPr>
                <w:rFonts w:hint="eastAsia" w:ascii="Times New Roman" w:hAnsi="Times New Roman" w:eastAsia="宋体"/>
                <w:color w:val="000000" w:themeColor="text1"/>
                <w:sz w:val="24"/>
                <w:highlight w:val="none"/>
                <w14:textFill>
                  <w14:solidFill>
                    <w14:schemeClr w14:val="tx1"/>
                  </w14:solidFill>
                </w14:textFill>
              </w:rPr>
              <w:t>采取人工将钢绞线穿入预制件预应力孔道，然后采用群锚大吨位预应力张拉设备进行张拉，经检验合格后，再进行预应力钢筋孔道注浆、封锚。</w:t>
            </w:r>
          </w:p>
          <w:p w14:paraId="00F4F5A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压浆：</w:t>
            </w:r>
            <w:r>
              <w:rPr>
                <w:rFonts w:hint="eastAsia" w:ascii="Times New Roman" w:hAnsi="Times New Roman" w:eastAsia="宋体"/>
                <w:color w:val="000000" w:themeColor="text1"/>
                <w:sz w:val="24"/>
                <w:highlight w:val="none"/>
                <w14:textFill>
                  <w14:solidFill>
                    <w14:schemeClr w14:val="tx1"/>
                  </w14:solidFill>
                </w14:textFill>
              </w:rPr>
              <w:t>孔道压浆采用真空压浆工艺，在孔道的一段采用真空泵对孔道进行抽真空，使之产生真空度，然后用压浆泵将优化后的水泥浆从孔道的另一端压入，直至充满整条孔道，并加以正压力，以提高预应力孔道压浆的饱满度和密实度。</w:t>
            </w:r>
          </w:p>
          <w:p w14:paraId="43B6D96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b/>
                <w:bCs/>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封锚：</w:t>
            </w:r>
            <w:r>
              <w:rPr>
                <w:rFonts w:hint="eastAsia" w:ascii="Times New Roman" w:hAnsi="Times New Roman" w:eastAsia="宋体"/>
                <w:color w:val="000000" w:themeColor="text1"/>
                <w:sz w:val="24"/>
                <w:highlight w:val="none"/>
                <w14:textFill>
                  <w14:solidFill>
                    <w14:schemeClr w14:val="tx1"/>
                  </w14:solidFill>
                </w14:textFill>
              </w:rPr>
              <w:t>封锚混凝土分几次填塞，保证填塞密实，并用钢筋棍捣密实，封锚混凝土养护结束之后，在锚穴的外部涂以聚氨酯防水涂料，涂刷范围为底板、腹板梁端。</w:t>
            </w:r>
          </w:p>
          <w:p w14:paraId="6F8E2C6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b/>
                <w:bCs/>
                <w:color w:val="000000" w:themeColor="text1"/>
                <w:sz w:val="24"/>
                <w:highlight w:val="none"/>
                <w14:textFill>
                  <w14:solidFill>
                    <w14:schemeClr w14:val="tx1"/>
                  </w14:solidFill>
                </w14:textFill>
              </w:rPr>
              <w:t>存梁和出梁：</w:t>
            </w:r>
            <w:r>
              <w:rPr>
                <w:rFonts w:hint="eastAsia" w:ascii="Times New Roman" w:hAnsi="Times New Roman" w:eastAsia="宋体"/>
                <w:color w:val="000000" w:themeColor="text1"/>
                <w:sz w:val="24"/>
                <w:highlight w:val="none"/>
                <w14:textFill>
                  <w14:solidFill>
                    <w14:schemeClr w14:val="tx1"/>
                  </w14:solidFill>
                </w14:textFill>
              </w:rPr>
              <w:t>T梁节段由大龙门吊运至存梁区。出梁时，T梁节段由大龙门吊吊至装梁区，装入运梁平车。</w:t>
            </w:r>
          </w:p>
          <w:p w14:paraId="6D6369E4">
            <w:pPr>
              <w:spacing w:line="360" w:lineRule="auto"/>
              <w:rPr>
                <w:rFonts w:hint="default"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三</w:t>
            </w:r>
            <w:r>
              <w:rPr>
                <w:rFonts w:hint="default" w:ascii="Times New Roman" w:hAnsi="Times New Roman" w:eastAsia="宋体" w:cs="Times New Roman"/>
                <w:b/>
                <w:bCs/>
                <w:color w:val="000000" w:themeColor="text1"/>
                <w:sz w:val="24"/>
                <w:szCs w:val="24"/>
                <w:highlight w:val="none"/>
                <w14:textFill>
                  <w14:solidFill>
                    <w14:schemeClr w14:val="tx1"/>
                  </w14:solidFill>
                </w14:textFill>
              </w:rPr>
              <w:t>、主要污染物</w:t>
            </w:r>
          </w:p>
          <w:p w14:paraId="11983FB0">
            <w:pPr>
              <w:spacing w:line="360" w:lineRule="auto"/>
              <w:ind w:firstLine="480" w:firstLineChars="200"/>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本项目营运期主要污染物产生环节见下表：</w:t>
            </w:r>
          </w:p>
          <w:p w14:paraId="6B98658B">
            <w:pPr>
              <w:spacing w:line="240" w:lineRule="auto"/>
              <w:ind w:firstLine="422" w:firstLineChars="20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表2-</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17    </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项目营运期主要污染物产生环节一览表</w:t>
            </w:r>
          </w:p>
          <w:tbl>
            <w:tblPr>
              <w:tblStyle w:val="20"/>
              <w:tblW w:w="8011"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15"/>
              <w:gridCol w:w="3099"/>
              <w:gridCol w:w="4397"/>
            </w:tblGrid>
            <w:tr w14:paraId="5E23C6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14" w:type="dxa"/>
                  <w:gridSpan w:val="2"/>
                  <w:noWrap w:val="0"/>
                  <w:vAlign w:val="center"/>
                </w:tcPr>
                <w:p w14:paraId="3780749B">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w:t>
                  </w:r>
                </w:p>
              </w:tc>
              <w:tc>
                <w:tcPr>
                  <w:tcW w:w="4397" w:type="dxa"/>
                  <w:noWrap w:val="0"/>
                  <w:vAlign w:val="center"/>
                </w:tcPr>
                <w:p w14:paraId="7FB53DEB">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产生环节</w:t>
                  </w:r>
                </w:p>
              </w:tc>
            </w:tr>
            <w:tr w14:paraId="75ACFE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restart"/>
                  <w:noWrap w:val="0"/>
                  <w:vAlign w:val="center"/>
                </w:tcPr>
                <w:p w14:paraId="67A6061B">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废水</w:t>
                  </w:r>
                </w:p>
              </w:tc>
              <w:tc>
                <w:tcPr>
                  <w:tcW w:w="3099" w:type="dxa"/>
                  <w:noWrap w:val="0"/>
                  <w:vAlign w:val="center"/>
                </w:tcPr>
                <w:p w14:paraId="0246B6CA">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生产废水</w:t>
                  </w:r>
                </w:p>
              </w:tc>
              <w:tc>
                <w:tcPr>
                  <w:tcW w:w="4397" w:type="dxa"/>
                  <w:noWrap w:val="0"/>
                  <w:vAlign w:val="center"/>
                </w:tcPr>
                <w:p w14:paraId="14639387">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场地、设备、运输车辆清洗</w:t>
                  </w:r>
                </w:p>
              </w:tc>
            </w:tr>
            <w:tr w14:paraId="79FEE5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2E1684C8">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1C3BDBD5">
                  <w:pPr>
                    <w:spacing w:line="240" w:lineRule="auto"/>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生活废水</w:t>
                  </w:r>
                </w:p>
              </w:tc>
              <w:tc>
                <w:tcPr>
                  <w:tcW w:w="4397" w:type="dxa"/>
                  <w:noWrap w:val="0"/>
                  <w:vAlign w:val="center"/>
                </w:tcPr>
                <w:p w14:paraId="67952CBC">
                  <w:pPr>
                    <w:spacing w:line="240" w:lineRule="auto"/>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人员生活</w:t>
                  </w:r>
                </w:p>
              </w:tc>
            </w:tr>
            <w:tr w14:paraId="0EB34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166AD002">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38F37B69">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初期雨水</w:t>
                  </w:r>
                </w:p>
              </w:tc>
              <w:tc>
                <w:tcPr>
                  <w:tcW w:w="4397" w:type="dxa"/>
                  <w:noWrap w:val="0"/>
                  <w:vAlign w:val="center"/>
                </w:tcPr>
                <w:p w14:paraId="4FEC37DC">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降雨初期地面汇流</w:t>
                  </w:r>
                </w:p>
              </w:tc>
            </w:tr>
            <w:tr w14:paraId="408C2F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restart"/>
                  <w:noWrap w:val="0"/>
                  <w:vAlign w:val="center"/>
                </w:tcPr>
                <w:p w14:paraId="1D249B8B">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废气</w:t>
                  </w:r>
                </w:p>
              </w:tc>
              <w:tc>
                <w:tcPr>
                  <w:tcW w:w="3099" w:type="dxa"/>
                  <w:noWrap w:val="0"/>
                  <w:vAlign w:val="center"/>
                </w:tcPr>
                <w:p w14:paraId="2EA3E374">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车辆运输扬尘</w:t>
                  </w:r>
                </w:p>
              </w:tc>
              <w:tc>
                <w:tcPr>
                  <w:tcW w:w="4397" w:type="dxa"/>
                  <w:noWrap w:val="0"/>
                  <w:vAlign w:val="center"/>
                </w:tcPr>
                <w:p w14:paraId="473F4663">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车辆运输</w:t>
                  </w:r>
                </w:p>
              </w:tc>
            </w:tr>
            <w:tr w14:paraId="0E5329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6DED0978">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764D0BA5">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破碎、筛分粉尘</w:t>
                  </w:r>
                </w:p>
              </w:tc>
              <w:tc>
                <w:tcPr>
                  <w:tcW w:w="4397" w:type="dxa"/>
                  <w:noWrap w:val="0"/>
                  <w:vAlign w:val="center"/>
                </w:tcPr>
                <w:p w14:paraId="4CB48AB1">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砂石破碎、筛分</w:t>
                  </w:r>
                </w:p>
              </w:tc>
            </w:tr>
            <w:tr w14:paraId="05690A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4C236A70">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2D999FFE">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砂石料仓堆存、装卸</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扬尘</w:t>
                  </w:r>
                </w:p>
              </w:tc>
              <w:tc>
                <w:tcPr>
                  <w:tcW w:w="4397" w:type="dxa"/>
                  <w:noWrap w:val="0"/>
                  <w:vAlign w:val="center"/>
                </w:tcPr>
                <w:p w14:paraId="54F73B65">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骨料</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堆存、装卸</w:t>
                  </w:r>
                </w:p>
              </w:tc>
            </w:tr>
            <w:tr w14:paraId="77A8B9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7FB183FC">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7E5DA9B0">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筒仓粉尘</w:t>
                  </w:r>
                </w:p>
              </w:tc>
              <w:tc>
                <w:tcPr>
                  <w:tcW w:w="4397" w:type="dxa"/>
                  <w:noWrap w:val="0"/>
                  <w:vAlign w:val="center"/>
                </w:tcPr>
                <w:p w14:paraId="7F6068F0">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筒仓</w:t>
                  </w:r>
                </w:p>
              </w:tc>
            </w:tr>
            <w:tr w14:paraId="0D0B10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5752F03A">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739F5817">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搅拌粉尘</w:t>
                  </w:r>
                </w:p>
              </w:tc>
              <w:tc>
                <w:tcPr>
                  <w:tcW w:w="4397" w:type="dxa"/>
                  <w:noWrap w:val="0"/>
                  <w:vAlign w:val="center"/>
                </w:tcPr>
                <w:p w14:paraId="381671CD">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搅拌</w:t>
                  </w:r>
                </w:p>
              </w:tc>
            </w:tr>
            <w:tr w14:paraId="59351F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23DA6D9B">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4644ADCF">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焊接烟尘</w:t>
                  </w:r>
                </w:p>
              </w:tc>
              <w:tc>
                <w:tcPr>
                  <w:tcW w:w="4397" w:type="dxa"/>
                  <w:noWrap w:val="0"/>
                  <w:vAlign w:val="center"/>
                </w:tcPr>
                <w:p w14:paraId="537808FB">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钢筋焊接</w:t>
                  </w:r>
                </w:p>
              </w:tc>
            </w:tr>
            <w:tr w14:paraId="6DB718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32BBA935">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540755CB">
                  <w:pPr>
                    <w:widowControl w:val="0"/>
                    <w:adjustRightInd/>
                    <w:snapToGrid/>
                    <w:spacing w:line="240" w:lineRule="auto"/>
                    <w:ind w:left="0" w:leftChars="0" w:right="0" w:rightChars="0"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油烟</w:t>
                  </w:r>
                </w:p>
              </w:tc>
              <w:tc>
                <w:tcPr>
                  <w:tcW w:w="4397" w:type="dxa"/>
                  <w:noWrap w:val="0"/>
                  <w:vAlign w:val="center"/>
                </w:tcPr>
                <w:p w14:paraId="2B86175C">
                  <w:pPr>
                    <w:widowControl w:val="0"/>
                    <w:adjustRightInd/>
                    <w:snapToGrid/>
                    <w:spacing w:line="240" w:lineRule="auto"/>
                    <w:ind w:left="0" w:leftChars="0" w:right="0" w:rightChars="0"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食堂</w:t>
                  </w:r>
                </w:p>
              </w:tc>
            </w:tr>
            <w:tr w14:paraId="1246A2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49BEDC17">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086C69D3">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运输车辆尾气</w:t>
                  </w:r>
                </w:p>
              </w:tc>
              <w:tc>
                <w:tcPr>
                  <w:tcW w:w="4397" w:type="dxa"/>
                  <w:noWrap w:val="0"/>
                  <w:vAlign w:val="center"/>
                </w:tcPr>
                <w:p w14:paraId="05B8978A">
                  <w:pPr>
                    <w:widowControl w:val="0"/>
                    <w:adjustRightInd/>
                    <w:snapToGrid/>
                    <w:spacing w:line="240" w:lineRule="auto"/>
                    <w:ind w:left="0" w:leftChars="0" w:right="0" w:rightChars="0"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车辆运输</w:t>
                  </w:r>
                </w:p>
              </w:tc>
            </w:tr>
            <w:tr w14:paraId="204CE2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restart"/>
                  <w:noWrap w:val="0"/>
                  <w:vAlign w:val="center"/>
                </w:tcPr>
                <w:p w14:paraId="4D1C731E">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固体废物</w:t>
                  </w:r>
                </w:p>
              </w:tc>
              <w:tc>
                <w:tcPr>
                  <w:tcW w:w="3099" w:type="dxa"/>
                  <w:noWrap w:val="0"/>
                  <w:vAlign w:val="center"/>
                </w:tcPr>
                <w:p w14:paraId="2A3E6582">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生活垃圾</w:t>
                  </w:r>
                </w:p>
              </w:tc>
              <w:tc>
                <w:tcPr>
                  <w:tcW w:w="4397" w:type="dxa"/>
                  <w:noWrap w:val="0"/>
                  <w:vAlign w:val="center"/>
                </w:tcPr>
                <w:p w14:paraId="675B61C5">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办公生活</w:t>
                  </w:r>
                </w:p>
              </w:tc>
            </w:tr>
            <w:tr w14:paraId="6F30285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20A8BE5A">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56DC78D9">
                  <w:pPr>
                    <w:tabs>
                      <w:tab w:val="left" w:pos="195"/>
                    </w:tabs>
                    <w:spacing w:line="240" w:lineRule="auto"/>
                    <w:jc w:val="cente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餐厨垃圾</w:t>
                  </w:r>
                </w:p>
              </w:tc>
              <w:tc>
                <w:tcPr>
                  <w:tcW w:w="4397" w:type="dxa"/>
                  <w:noWrap w:val="0"/>
                  <w:vAlign w:val="center"/>
                </w:tcPr>
                <w:p w14:paraId="11F7F25E">
                  <w:pPr>
                    <w:tabs>
                      <w:tab w:val="left" w:pos="195"/>
                    </w:tabs>
                    <w:spacing w:line="240" w:lineRule="auto"/>
                    <w:jc w:val="cente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食堂</w:t>
                  </w:r>
                </w:p>
              </w:tc>
            </w:tr>
            <w:tr w14:paraId="38ED34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7C867AED">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04AA5F5D">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筒仓除尘器粉尘</w:t>
                  </w:r>
                </w:p>
              </w:tc>
              <w:tc>
                <w:tcPr>
                  <w:tcW w:w="4397" w:type="dxa"/>
                  <w:noWrap w:val="0"/>
                  <w:vAlign w:val="center"/>
                </w:tcPr>
                <w:p w14:paraId="5818C5C7">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筒仓除尘器</w:t>
                  </w:r>
                </w:p>
              </w:tc>
            </w:tr>
            <w:tr w14:paraId="731D12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6D6327EF">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E38DE3C">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底泥</w:t>
                  </w:r>
                </w:p>
              </w:tc>
              <w:tc>
                <w:tcPr>
                  <w:tcW w:w="4397" w:type="dxa"/>
                  <w:noWrap w:val="0"/>
                  <w:vAlign w:val="center"/>
                </w:tcPr>
                <w:p w14:paraId="38CBD0DF">
                  <w:pPr>
                    <w:tabs>
                      <w:tab w:val="left" w:pos="195"/>
                    </w:tabs>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沉淀池</w:t>
                  </w:r>
                </w:p>
              </w:tc>
            </w:tr>
            <w:tr w14:paraId="6BDFA2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137AB1DB">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43553378">
                  <w:pPr>
                    <w:tabs>
                      <w:tab w:val="left" w:pos="195"/>
                    </w:tabs>
                    <w:spacing w:line="240" w:lineRule="auto"/>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检验室废品</w:t>
                  </w:r>
                </w:p>
              </w:tc>
              <w:tc>
                <w:tcPr>
                  <w:tcW w:w="4397" w:type="dxa"/>
                  <w:noWrap w:val="0"/>
                  <w:vAlign w:val="center"/>
                </w:tcPr>
                <w:p w14:paraId="38D71F65">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检验</w:t>
                  </w:r>
                </w:p>
              </w:tc>
            </w:tr>
            <w:tr w14:paraId="3240B0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1F5E5141">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637B16A6">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边角废料</w:t>
                  </w:r>
                </w:p>
              </w:tc>
              <w:tc>
                <w:tcPr>
                  <w:tcW w:w="4397" w:type="dxa"/>
                  <w:noWrap w:val="0"/>
                  <w:vAlign w:val="center"/>
                </w:tcPr>
                <w:p w14:paraId="65A72A97">
                  <w:pPr>
                    <w:tabs>
                      <w:tab w:val="left" w:pos="195"/>
                    </w:tabs>
                    <w:spacing w:line="240" w:lineRule="auto"/>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钢筋切割</w:t>
                  </w:r>
                </w:p>
              </w:tc>
            </w:tr>
            <w:tr w14:paraId="41B9EA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15" w:type="dxa"/>
                  <w:vMerge w:val="continue"/>
                  <w:noWrap w:val="0"/>
                  <w:vAlign w:val="center"/>
                </w:tcPr>
                <w:p w14:paraId="2B5B3151">
                  <w:pPr>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099" w:type="dxa"/>
                  <w:noWrap w:val="0"/>
                  <w:vAlign w:val="center"/>
                </w:tcPr>
                <w:p w14:paraId="006D1BC3">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隔油池废油</w:t>
                  </w:r>
                </w:p>
              </w:tc>
              <w:tc>
                <w:tcPr>
                  <w:tcW w:w="4397" w:type="dxa"/>
                  <w:noWrap w:val="0"/>
                  <w:vAlign w:val="center"/>
                </w:tcPr>
                <w:p w14:paraId="73BABFE4">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洗车废水隔油处理</w:t>
                  </w:r>
                </w:p>
              </w:tc>
            </w:tr>
            <w:tr w14:paraId="2B43D9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14" w:type="dxa"/>
                  <w:gridSpan w:val="2"/>
                  <w:noWrap w:val="0"/>
                  <w:vAlign w:val="center"/>
                </w:tcPr>
                <w:p w14:paraId="1CAE6ADC">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噪声</w:t>
                  </w:r>
                </w:p>
              </w:tc>
              <w:tc>
                <w:tcPr>
                  <w:tcW w:w="4397" w:type="dxa"/>
                  <w:noWrap w:val="0"/>
                  <w:vAlign w:val="center"/>
                </w:tcPr>
                <w:p w14:paraId="62C6182A">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设备运行、人员活动</w:t>
                  </w:r>
                </w:p>
              </w:tc>
            </w:tr>
          </w:tbl>
          <w:p w14:paraId="0AD631A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tc>
      </w:tr>
      <w:tr w14:paraId="4174C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66" w:hRule="atLeast"/>
          <w:jc w:val="center"/>
        </w:trPr>
        <w:tc>
          <w:tcPr>
            <w:tcW w:w="500" w:type="pct"/>
            <w:shd w:val="clear" w:color="auto" w:fill="auto"/>
            <w:vAlign w:val="center"/>
          </w:tcPr>
          <w:p w14:paraId="5CF873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与项目有关的原有环境污染问题</w:t>
            </w:r>
          </w:p>
        </w:tc>
        <w:tc>
          <w:tcPr>
            <w:tcW w:w="4615" w:type="pct"/>
            <w:shd w:val="clear" w:color="auto" w:fill="auto"/>
            <w:vAlign w:val="top"/>
          </w:tcPr>
          <w:p w14:paraId="7B45E07D">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both"/>
              <w:textAlignment w:val="auto"/>
              <w:rPr>
                <w:rFonts w:hint="eastAsia" w:ascii="Times New Roman" w:hAnsi="Times New Roman" w:eastAsia="宋体"/>
                <w:color w:val="000000" w:themeColor="text1"/>
                <w:sz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南充至成都高速公路扩容工程LJ5标段3#站</w:t>
            </w:r>
            <w:r>
              <w:rPr>
                <w:rFonts w:hint="eastAsia" w:ascii="Times New Roman" w:hAnsi="Times New Roman" w:eastAsia="宋体"/>
                <w:color w:val="000000" w:themeColor="text1"/>
                <w:sz w:val="24"/>
                <w:highlight w:val="none"/>
                <w14:textFill>
                  <w14:solidFill>
                    <w14:schemeClr w14:val="tx1"/>
                  </w14:solidFill>
                </w14:textFill>
              </w:rPr>
              <w:t>(</w:t>
            </w:r>
            <w:r>
              <w:rPr>
                <w:rFonts w:hint="eastAsia" w:ascii="Times New Roman" w:hAnsi="Times New Roman" w:eastAsia="宋体"/>
                <w:color w:val="000000" w:themeColor="text1"/>
                <w:sz w:val="24"/>
                <w:highlight w:val="none"/>
                <w:lang w:eastAsia="zh-CN"/>
                <w14:textFill>
                  <w14:solidFill>
                    <w14:schemeClr w14:val="tx1"/>
                  </w14:solidFill>
                </w14:textFill>
              </w:rPr>
              <w:t>建设单位</w:t>
            </w:r>
            <w:r>
              <w:rPr>
                <w:rFonts w:hint="eastAsia" w:ascii="Times New Roman" w:hAnsi="Times New Roman" w:eastAsia="宋体"/>
                <w:color w:val="000000" w:themeColor="text1"/>
                <w:sz w:val="24"/>
                <w:highlight w:val="none"/>
                <w14:textFill>
                  <w14:solidFill>
                    <w14:schemeClr w14:val="tx1"/>
                  </w14:solidFill>
                </w14:textFill>
              </w:rPr>
              <w:t>:中交第三航务工程局有限公司)拟在蓬溪经开区上游片区租用一块土地，作为工程建设的冷拌站、料仓、加工厂、工人驻地等临时用地。该宗土地位于蓬溪经开区上游片区临成南高速公路宝梵收费站内侧的莲花社区</w:t>
            </w:r>
            <w:r>
              <w:rPr>
                <w:rFonts w:ascii="Times New Roman" w:hAnsi="Times New Roman" w:eastAsia="宋体"/>
                <w:color w:val="000000" w:themeColor="text1"/>
                <w:sz w:val="24"/>
                <w:highlight w:val="none"/>
                <w14:textFill>
                  <w14:solidFill>
                    <w14:schemeClr w14:val="tx1"/>
                  </w14:solidFill>
                </w14:textFill>
              </w:rPr>
              <w:t>，</w:t>
            </w:r>
            <w:r>
              <w:rPr>
                <w:rFonts w:hint="eastAsia" w:ascii="Times New Roman" w:hAnsi="Times New Roman" w:eastAsia="宋体"/>
                <w:color w:val="000000" w:themeColor="text1"/>
                <w:sz w:val="24"/>
                <w:highlight w:val="none"/>
                <w:lang w:eastAsia="zh-CN"/>
                <w14:textFill>
                  <w14:solidFill>
                    <w14:schemeClr w14:val="tx1"/>
                  </w14:solidFill>
                </w14:textFill>
              </w:rPr>
              <w:t>项目所在地</w:t>
            </w:r>
            <w:r>
              <w:rPr>
                <w:rFonts w:hint="eastAsia" w:ascii="Times New Roman" w:hAnsi="Times New Roman" w:eastAsia="宋体"/>
                <w:color w:val="000000" w:themeColor="text1"/>
                <w:sz w:val="24"/>
                <w:highlight w:val="none"/>
                <w14:textFill>
                  <w14:solidFill>
                    <w14:schemeClr w14:val="tx1"/>
                  </w14:solidFill>
                </w14:textFill>
              </w:rPr>
              <w:t>土地性质为国有，未利用，面积约100亩(不动产权证号:蓬国用[2014]第4345号)。</w:t>
            </w:r>
          </w:p>
          <w:p w14:paraId="774E957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该宗土地于2014年出让给县招商引资业一四川省华益冠益管道有限公司，该公司至今未投资建设。2014年江西建工机械施工有限责任公司与四川省华益冠益管道有限公司签订合同，承建了该宗土地的土石方工程。因江西建工机械施工有限责任公司下欠工程款及保证金，土石方项目实际承包人已向蓬溪县人民法院提起诉讼，查封了该宗土地。2021年县招商引资项目一年产80万吨新型聚合物改性沥青项目，拟选定该宗地建厂。</w:t>
            </w:r>
            <w:r>
              <w:rPr>
                <w:rFonts w:hint="eastAsia" w:ascii="Times New Roman" w:hAnsi="Times New Roman" w:eastAsia="宋体"/>
                <w:color w:val="000000" w:themeColor="text1"/>
                <w:sz w:val="24"/>
                <w:highlight w:val="none"/>
                <w:lang w:eastAsia="zh-CN"/>
                <w14:textFill>
                  <w14:solidFill>
                    <w14:schemeClr w14:val="tx1"/>
                  </w14:solidFill>
                </w14:textFill>
              </w:rPr>
              <w:t>因</w:t>
            </w:r>
            <w:r>
              <w:rPr>
                <w:rFonts w:hint="eastAsia" w:ascii="Times New Roman" w:hAnsi="Times New Roman" w:eastAsia="宋体"/>
                <w:color w:val="000000" w:themeColor="text1"/>
                <w:sz w:val="24"/>
                <w:highlight w:val="none"/>
                <w14:textFill>
                  <w14:solidFill>
                    <w14:schemeClr w14:val="tx1"/>
                  </w14:solidFill>
                </w14:textFill>
              </w:rPr>
              <w:t>该项目社会稳定风险等级评定为中风险级，周边群众极力反对</w:t>
            </w:r>
            <w:r>
              <w:rPr>
                <w:rFonts w:hint="eastAsia" w:ascii="Times New Roman" w:hAnsi="Times New Roman" w:eastAsia="宋体"/>
                <w:color w:val="000000" w:themeColor="text1"/>
                <w:sz w:val="24"/>
                <w:highlight w:val="none"/>
                <w:lang w:eastAsia="zh-CN"/>
                <w14:textFill>
                  <w14:solidFill>
                    <w14:schemeClr w14:val="tx1"/>
                  </w14:solidFill>
                </w14:textFill>
              </w:rPr>
              <w:t>等原因取消建设</w:t>
            </w:r>
            <w:r>
              <w:rPr>
                <w:rFonts w:hint="eastAsia" w:ascii="Times New Roman" w:hAnsi="Times New Roman" w:eastAsia="宋体"/>
                <w:color w:val="000000" w:themeColor="text1"/>
                <w:sz w:val="24"/>
                <w:highlight w:val="none"/>
                <w14:textFill>
                  <w14:solidFill>
                    <w14:schemeClr w14:val="tx1"/>
                  </w14:solidFill>
                </w14:textFill>
              </w:rPr>
              <w:t>。</w:t>
            </w:r>
          </w:p>
          <w:p w14:paraId="1A0CE7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ascii="Times New Roman" w:hAnsi="Times New Roman" w:eastAsia="宋体"/>
                <w:color w:val="000000" w:themeColor="text1"/>
                <w:sz w:val="24"/>
                <w:highlight w:val="none"/>
                <w14:textFill>
                  <w14:solidFill>
                    <w14:schemeClr w14:val="tx1"/>
                  </w14:solidFill>
                </w14:textFill>
              </w:rPr>
            </w:pPr>
            <w:r>
              <w:rPr>
                <w:rFonts w:hint="eastAsia" w:ascii="Times New Roman" w:hAnsi="Times New Roman" w:eastAsia="宋体"/>
                <w:color w:val="000000" w:themeColor="text1"/>
                <w:sz w:val="24"/>
                <w:highlight w:val="none"/>
                <w14:textFill>
                  <w14:solidFill>
                    <w14:schemeClr w14:val="tx1"/>
                  </w14:solidFill>
                </w14:textFill>
              </w:rPr>
              <w:t>蓬溪经开区、县交运局、中交三航局有限公司、土石方项目实际承包人四方多次协商，</w:t>
            </w:r>
            <w:r>
              <w:rPr>
                <w:rFonts w:hint="eastAsia" w:ascii="Times New Roman" w:hAnsi="Times New Roman" w:eastAsia="宋体"/>
                <w:color w:val="000000" w:themeColor="text1"/>
                <w:sz w:val="24"/>
                <w:highlight w:val="none"/>
                <w:lang w:eastAsia="zh-CN"/>
                <w14:textFill>
                  <w14:solidFill>
                    <w14:schemeClr w14:val="tx1"/>
                  </w14:solidFill>
                </w14:textFill>
              </w:rPr>
              <w:t>签订场地租用协议（见附件</w:t>
            </w:r>
            <w:r>
              <w:rPr>
                <w:rFonts w:hint="eastAsia" w:ascii="Times New Roman" w:hAnsi="Times New Roman" w:eastAsia="宋体"/>
                <w:color w:val="000000" w:themeColor="text1"/>
                <w:sz w:val="24"/>
                <w:highlight w:val="none"/>
                <w:lang w:val="en-US" w:eastAsia="zh-CN"/>
                <w14:textFill>
                  <w14:solidFill>
                    <w14:schemeClr w14:val="tx1"/>
                  </w14:solidFill>
                </w14:textFill>
              </w:rPr>
              <w:t>5-1</w:t>
            </w:r>
            <w:r>
              <w:rPr>
                <w:rFonts w:hint="eastAsia" w:ascii="Times New Roman" w:hAnsi="Times New Roman" w:eastAsia="宋体"/>
                <w:color w:val="000000" w:themeColor="text1"/>
                <w:sz w:val="24"/>
                <w:highlight w:val="none"/>
                <w:lang w:eastAsia="zh-CN"/>
                <w14:textFill>
                  <w14:solidFill>
                    <w14:schemeClr w14:val="tx1"/>
                  </w14:solidFill>
                </w14:textFill>
              </w:rPr>
              <w:t>），协议认定</w:t>
            </w:r>
            <w:r>
              <w:rPr>
                <w:rFonts w:hint="eastAsia" w:ascii="Times New Roman" w:hAnsi="Times New Roman" w:eastAsia="宋体"/>
                <w:color w:val="000000" w:themeColor="text1"/>
                <w:sz w:val="24"/>
                <w:highlight w:val="none"/>
                <w14:textFill>
                  <w14:solidFill>
                    <w14:schemeClr w14:val="tx1"/>
                  </w14:solidFill>
                </w14:textFill>
              </w:rPr>
              <w:t>中交三航局有限公司负责修建进场硬化道路及场内其它硬化设施，租期结束后无偿退出并按约定期限归还移交给蓬溪开发区</w:t>
            </w:r>
            <w:r>
              <w:rPr>
                <w:rFonts w:hint="eastAsia" w:ascii="Times New Roman" w:hAnsi="Times New Roman" w:eastAsia="宋体"/>
                <w:color w:val="000000" w:themeColor="text1"/>
                <w:sz w:val="24"/>
                <w:highlight w:val="none"/>
                <w:lang w:eastAsia="zh-CN"/>
                <w14:textFill>
                  <w14:solidFill>
                    <w14:schemeClr w14:val="tx1"/>
                  </w14:solidFill>
                </w14:textFill>
              </w:rPr>
              <w:t>，无需进行土地复垦（见附件</w:t>
            </w:r>
            <w:r>
              <w:rPr>
                <w:rFonts w:hint="eastAsia" w:ascii="Times New Roman" w:hAnsi="Times New Roman" w:eastAsia="宋体"/>
                <w:color w:val="000000" w:themeColor="text1"/>
                <w:sz w:val="24"/>
                <w:highlight w:val="none"/>
                <w:lang w:val="en-US" w:eastAsia="zh-CN"/>
                <w14:textFill>
                  <w14:solidFill>
                    <w14:schemeClr w14:val="tx1"/>
                  </w14:solidFill>
                </w14:textFill>
              </w:rPr>
              <w:t>5-2</w:t>
            </w:r>
            <w:r>
              <w:rPr>
                <w:rFonts w:hint="eastAsia" w:ascii="Times New Roman" w:hAnsi="Times New Roman" w:eastAsia="宋体"/>
                <w:color w:val="000000" w:themeColor="text1"/>
                <w:sz w:val="24"/>
                <w:highlight w:val="none"/>
                <w:lang w:eastAsia="zh-CN"/>
                <w14:textFill>
                  <w14:solidFill>
                    <w14:schemeClr w14:val="tx1"/>
                  </w14:solidFill>
                </w14:textFill>
              </w:rPr>
              <w:t>）</w:t>
            </w:r>
            <w:r>
              <w:rPr>
                <w:rFonts w:hint="eastAsia" w:ascii="Times New Roman" w:hAnsi="Times New Roman" w:eastAsia="宋体"/>
                <w:color w:val="000000" w:themeColor="text1"/>
                <w:sz w:val="24"/>
                <w:highlight w:val="none"/>
                <w14:textFill>
                  <w14:solidFill>
                    <w14:schemeClr w14:val="tx1"/>
                  </w14:solidFill>
                </w14:textFill>
              </w:rPr>
              <w:t>。</w:t>
            </w:r>
          </w:p>
          <w:tbl>
            <w:tblPr>
              <w:tblStyle w:val="21"/>
              <w:tblW w:w="0" w:type="auto"/>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041"/>
            </w:tblGrid>
            <w:tr w14:paraId="3A322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41" w:type="dxa"/>
                </w:tcPr>
                <w:p w14:paraId="6B3ACB00">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Times New Roman" w:hAnsi="Times New Roman" w:eastAsia="宋体"/>
                      <w:color w:val="000000" w:themeColor="text1"/>
                      <w:sz w:val="24"/>
                      <w:highlight w:val="none"/>
                      <w:vertAlign w:val="baseline"/>
                      <w:lang w:eastAsia="zh-CN"/>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经现场勘察，本项目</w:t>
                  </w:r>
                  <w:r>
                    <w:rPr>
                      <w:rFonts w:hint="eastAsia" w:ascii="Times New Roman" w:hAnsi="Times New Roman" w:eastAsia="宋体"/>
                      <w:color w:val="000000" w:themeColor="text1"/>
                      <w:sz w:val="24"/>
                      <w:highlight w:val="none"/>
                      <w:lang w:eastAsia="zh-CN"/>
                      <w14:textFill>
                        <w14:solidFill>
                          <w14:schemeClr w14:val="tx1"/>
                        </w14:solidFill>
                      </w14:textFill>
                    </w:rPr>
                    <w:t>待建场地未发现环境遗留问题，现场照片如下：</w:t>
                  </w:r>
                </w:p>
                <w:p w14:paraId="6281758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Times New Roman" w:hAnsi="Times New Roman" w:eastAsia="宋体"/>
                      <w:color w:val="000000" w:themeColor="text1"/>
                      <w:sz w:val="24"/>
                      <w:highlight w:val="none"/>
                      <w:vertAlign w:val="baseline"/>
                      <w:lang w:eastAsia="zh-CN"/>
                      <w14:textFill>
                        <w14:solidFill>
                          <w14:schemeClr w14:val="tx1"/>
                        </w14:solidFill>
                      </w14:textFill>
                    </w:rPr>
                  </w:pPr>
                  <w:r>
                    <w:rPr>
                      <w:rFonts w:hint="eastAsia" w:ascii="Times New Roman" w:hAnsi="Times New Roman" w:eastAsia="宋体"/>
                      <w:color w:val="000000" w:themeColor="text1"/>
                      <w:sz w:val="24"/>
                      <w:highlight w:val="none"/>
                      <w:vertAlign w:val="baseline"/>
                      <w:lang w:eastAsia="zh-CN"/>
                      <w14:textFill>
                        <w14:solidFill>
                          <w14:schemeClr w14:val="tx1"/>
                        </w14:solidFill>
                      </w14:textFill>
                    </w:rPr>
                    <w:drawing>
                      <wp:inline distT="0" distB="0" distL="114300" distR="114300">
                        <wp:extent cx="4617720" cy="2609215"/>
                        <wp:effectExtent l="0" t="0" r="11430" b="635"/>
                        <wp:docPr id="6" name="图片 6" descr="微信图片_2022071814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207181400045"/>
                                <pic:cNvPicPr>
                                  <a:picLocks noChangeAspect="1"/>
                                </pic:cNvPicPr>
                              </pic:nvPicPr>
                              <pic:blipFill>
                                <a:blip r:embed="rId26"/>
                                <a:srcRect t="14123" b="10606"/>
                                <a:stretch>
                                  <a:fillRect/>
                                </a:stretch>
                              </pic:blipFill>
                              <pic:spPr>
                                <a:xfrm>
                                  <a:off x="0" y="0"/>
                                  <a:ext cx="4617720" cy="2609215"/>
                                </a:xfrm>
                                <a:prstGeom prst="rect">
                                  <a:avLst/>
                                </a:prstGeom>
                              </pic:spPr>
                            </pic:pic>
                          </a:graphicData>
                        </a:graphic>
                      </wp:inline>
                    </w:drawing>
                  </w:r>
                </w:p>
              </w:tc>
            </w:tr>
          </w:tbl>
          <w:p w14:paraId="62E2F8C7">
            <w:pPr>
              <w:spacing w:line="500" w:lineRule="exact"/>
              <w:jc w:val="both"/>
              <w:rPr>
                <w:rFonts w:ascii="Times New Roman" w:hAnsi="Times New Roman" w:eastAsia="宋体"/>
                <w:color w:val="000000" w:themeColor="text1"/>
                <w:sz w:val="24"/>
                <w:szCs w:val="24"/>
                <w:highlight w:val="none"/>
                <w14:textFill>
                  <w14:solidFill>
                    <w14:schemeClr w14:val="tx1"/>
                  </w14:solidFill>
                </w14:textFill>
              </w:rPr>
            </w:pPr>
          </w:p>
        </w:tc>
      </w:tr>
    </w:tbl>
    <w:p w14:paraId="1C798D6F">
      <w:pPr>
        <w:rPr>
          <w:rFonts w:ascii="Times New Roman" w:hAnsi="Times New Roman" w:eastAsia="宋体"/>
          <w:color w:val="000000" w:themeColor="text1"/>
          <w:kern w:val="0"/>
          <w:sz w:val="24"/>
          <w:szCs w:val="24"/>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866AB4F">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4" w:name="_Toc80643343"/>
      <w:r>
        <w:rPr>
          <w:rFonts w:ascii="Times New Roman" w:hAnsi="Times New Roman" w:eastAsia="宋体"/>
          <w:b/>
          <w:bCs/>
          <w:snapToGrid w:val="0"/>
          <w:color w:val="000000" w:themeColor="text1"/>
          <w:kern w:val="0"/>
          <w:sz w:val="36"/>
          <w:szCs w:val="32"/>
          <w:highlight w:val="none"/>
          <w14:textFill>
            <w14:solidFill>
              <w14:schemeClr w14:val="tx1"/>
            </w14:solidFill>
          </w14:textFill>
        </w:rPr>
        <w:t>三、</w:t>
      </w:r>
      <w:bookmarkEnd w:id="4"/>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区域环境质量现状、环境保护目标及评价标准</w:t>
      </w:r>
    </w:p>
    <w:tbl>
      <w:tblPr>
        <w:tblStyle w:val="2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17"/>
        <w:gridCol w:w="8257"/>
      </w:tblGrid>
      <w:tr w14:paraId="07E957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90" w:hRule="atLeast"/>
          <w:jc w:val="center"/>
        </w:trPr>
        <w:tc>
          <w:tcPr>
            <w:tcW w:w="500" w:type="pct"/>
            <w:vAlign w:val="center"/>
          </w:tcPr>
          <w:p w14:paraId="1D8295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区域环境质量现状</w:t>
            </w:r>
          </w:p>
        </w:tc>
        <w:tc>
          <w:tcPr>
            <w:tcW w:w="4500" w:type="pct"/>
          </w:tcPr>
          <w:p w14:paraId="1671376F">
            <w:pPr>
              <w:spacing w:line="500" w:lineRule="exact"/>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一、</w:t>
            </w:r>
            <w:r>
              <w:rPr>
                <w:rFonts w:ascii="Times New Roman" w:hAnsi="Times New Roman" w:eastAsia="宋体"/>
                <w:b/>
                <w:color w:val="000000" w:themeColor="text1"/>
                <w:kern w:val="0"/>
                <w:sz w:val="24"/>
                <w:szCs w:val="24"/>
                <w:highlight w:val="none"/>
                <w14:textFill>
                  <w14:solidFill>
                    <w14:schemeClr w14:val="tx1"/>
                  </w14:solidFill>
                </w14:textFill>
              </w:rPr>
              <w:t>环境空气质量现状</w:t>
            </w:r>
          </w:p>
          <w:p w14:paraId="3850123B">
            <w:pPr>
              <w:widowControl w:val="0"/>
              <w:spacing w:before="0" w:line="360" w:lineRule="auto"/>
              <w:ind w:firstLine="480" w:firstLineChars="200"/>
              <w:jc w:val="both"/>
              <w:rPr>
                <w:rFonts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Cs/>
                <w:color w:val="000000" w:themeColor="text1"/>
                <w:kern w:val="2"/>
                <w:sz w:val="24"/>
                <w:szCs w:val="24"/>
                <w:highlight w:val="none"/>
                <w:lang w:val="en-US" w:eastAsia="zh-CN" w:bidi="ar"/>
                <w14:textFill>
                  <w14:solidFill>
                    <w14:schemeClr w14:val="tx1"/>
                  </w14:solidFill>
                </w14:textFill>
              </w:rPr>
              <w:t>根据《建设项目环境影响报告表编制技术指南》（污染影响类）（试行）：1大气环境。常规污染物引用与建设项目距离近的有效数据，包括近3年的规划环境影响评价的监测数据，国家、地方环境空气质量监测网数据或生态环境主管部门公开发布的质量数据等。排放国家、地方环境空气质量标准中有标准限值要求的特征污染物时，引用建设项目周边5千米范围内近3年的现有监测数据。</w:t>
            </w:r>
          </w:p>
          <w:p w14:paraId="3DAB2A62">
            <w:pPr>
              <w:widowControl w:val="0"/>
              <w:spacing w:before="0" w:line="360" w:lineRule="auto"/>
              <w:ind w:firstLine="482" w:firstLineChars="200"/>
              <w:jc w:val="both"/>
              <w:rPr>
                <w:rFonts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pPr>
            <w:r>
              <w:rPr>
                <w:rFonts w:ascii="Times New Roman" w:hAnsi="Times New Roman" w:eastAsia="宋体" w:cs="Times New Roman"/>
                <w:b/>
                <w:bCs/>
                <w:color w:val="000000" w:themeColor="text1"/>
                <w:kern w:val="2"/>
                <w:sz w:val="24"/>
                <w:szCs w:val="24"/>
                <w:highlight w:val="none"/>
                <w:lang w:val="en-US" w:eastAsia="zh-CN" w:bidi="ar-SA"/>
                <w14:textFill>
                  <w14:solidFill>
                    <w14:schemeClr w14:val="tx1"/>
                  </w14:solidFill>
                </w14:textFill>
              </w:rPr>
              <w:t>1、项目所在区域环境质量</w:t>
            </w:r>
          </w:p>
          <w:p w14:paraId="5F499F35">
            <w:pPr>
              <w:keepNext w:val="0"/>
              <w:keepLines w:val="0"/>
              <w:pageBreakBefore w:val="0"/>
              <w:widowControl w:val="0"/>
              <w:kinsoku/>
              <w:wordWrap w:val="0"/>
              <w:overflowPunct/>
              <w:topLinePunct w:val="0"/>
              <w:autoSpaceDE/>
              <w:autoSpaceDN/>
              <w:bidi w:val="0"/>
              <w:adjustRightInd w:val="0"/>
              <w:snapToGrid w:val="0"/>
              <w:spacing w:line="500" w:lineRule="exact"/>
              <w:ind w:firstLine="480" w:firstLineChars="200"/>
              <w:textAlignment w:val="auto"/>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本项目位于</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四川蓬溪经济开发区（火车站工业聚居区）莲花社区一社</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，属于大气环境功能区2类区，执行《环境空气质量标准》（GB3095-2012）二级标准。</w:t>
            </w:r>
            <w:r>
              <w:rPr>
                <w:rFonts w:hint="default" w:ascii="Times New Roman" w:hAnsi="Times New Roman" w:eastAsia="宋体" w:cs="Times New Roman"/>
                <w:bCs/>
                <w:color w:val="000000" w:themeColor="text1"/>
                <w:sz w:val="24"/>
                <w:highlight w:val="none"/>
                <w:lang w:bidi="ar"/>
                <w14:textFill>
                  <w14:solidFill>
                    <w14:schemeClr w14:val="tx1"/>
                  </w14:solidFill>
                </w14:textFill>
              </w:rPr>
              <w:t>本项目环境空气质量现状引用</w:t>
            </w:r>
            <w:r>
              <w:rPr>
                <w:rStyle w:val="57"/>
                <w:rFonts w:hint="default" w:ascii="Times New Roman" w:hAnsi="Times New Roman" w:eastAsia="宋体" w:cs="Times New Roman"/>
                <w:color w:val="000000" w:themeColor="text1"/>
                <w:highlight w:val="none"/>
                <w:lang w:bidi="ar"/>
                <w14:textFill>
                  <w14:solidFill>
                    <w14:schemeClr w14:val="tx1"/>
                  </w14:solidFill>
                </w14:textFill>
              </w:rPr>
              <w:t>遂宁市</w:t>
            </w:r>
            <w:r>
              <w:rPr>
                <w:rFonts w:hint="default" w:ascii="Times New Roman" w:hAnsi="Times New Roman" w:eastAsia="宋体" w:cs="Times New Roman"/>
                <w:bCs/>
                <w:color w:val="000000" w:themeColor="text1"/>
                <w:sz w:val="24"/>
                <w:highlight w:val="none"/>
                <w:lang w:bidi="ar"/>
                <w14:textFill>
                  <w14:solidFill>
                    <w14:schemeClr w14:val="tx1"/>
                  </w14:solidFill>
                </w14:textFill>
              </w:rPr>
              <w:t>生态环境局</w:t>
            </w:r>
            <w:r>
              <w:rPr>
                <w:rStyle w:val="57"/>
                <w:rFonts w:hint="default" w:ascii="Times New Roman" w:hAnsi="Times New Roman" w:eastAsia="宋体" w:cs="Times New Roman"/>
                <w:color w:val="000000" w:themeColor="text1"/>
                <w:highlight w:val="none"/>
                <w:lang w:eastAsia="zh-CN" w:bidi="ar"/>
                <w14:textFill>
                  <w14:solidFill>
                    <w14:schemeClr w14:val="tx1"/>
                  </w14:solidFill>
                </w14:textFill>
              </w:rPr>
              <w:t>发布的《关于2020年全市环境空气质量的通报》（http://shbj.suining.gov.cn/web/gkml_stj/ml_gsgg/-/articles/19212588.shtml）</w:t>
            </w:r>
            <w:r>
              <w:rPr>
                <w:rFonts w:hint="default" w:ascii="Times New Roman" w:hAnsi="Times New Roman" w:eastAsia="宋体" w:cs="Times New Roman"/>
                <w:bCs/>
                <w:color w:val="000000" w:themeColor="text1"/>
                <w:sz w:val="24"/>
                <w:highlight w:val="none"/>
                <w:lang w:bidi="ar"/>
                <w14:textFill>
                  <w14:solidFill>
                    <w14:schemeClr w14:val="tx1"/>
                  </w14:solidFill>
                </w14:textFill>
              </w:rPr>
              <w:t>。</w:t>
            </w:r>
          </w:p>
          <w:p w14:paraId="2D32EE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color w:val="000000" w:themeColor="text1"/>
                <w:sz w:val="21"/>
                <w:szCs w:val="18"/>
                <w:highlight w:val="none"/>
                <w14:textFill>
                  <w14:solidFill>
                    <w14:schemeClr w14:val="tx1"/>
                  </w14:solidFill>
                </w14:textFill>
              </w:rPr>
            </w:pPr>
            <w:r>
              <w:rPr>
                <w:rFonts w:hint="default" w:ascii="Times New Roman" w:hAnsi="Times New Roman" w:cs="Times New Roman"/>
                <w:b/>
                <w:color w:val="000000" w:themeColor="text1"/>
                <w:sz w:val="21"/>
                <w:szCs w:val="18"/>
                <w:highlight w:val="none"/>
                <w:lang w:bidi="ar"/>
                <w14:textFill>
                  <w14:solidFill>
                    <w14:schemeClr w14:val="tx1"/>
                  </w14:solidFill>
                </w14:textFill>
              </w:rPr>
              <w:t>表3-1      20</w:t>
            </w:r>
            <w:r>
              <w:rPr>
                <w:rFonts w:hint="default" w:ascii="Times New Roman" w:hAnsi="Times New Roman" w:cs="Times New Roman"/>
                <w:b/>
                <w:color w:val="000000" w:themeColor="text1"/>
                <w:sz w:val="21"/>
                <w:szCs w:val="18"/>
                <w:highlight w:val="none"/>
                <w:lang w:val="en-US" w:eastAsia="zh-CN" w:bidi="ar"/>
                <w14:textFill>
                  <w14:solidFill>
                    <w14:schemeClr w14:val="tx1"/>
                  </w14:solidFill>
                </w14:textFill>
              </w:rPr>
              <w:t>20</w:t>
            </w:r>
            <w:r>
              <w:rPr>
                <w:rFonts w:hint="default" w:ascii="Times New Roman" w:hAnsi="Times New Roman" w:cs="Times New Roman"/>
                <w:b/>
                <w:color w:val="000000" w:themeColor="text1"/>
                <w:sz w:val="21"/>
                <w:szCs w:val="18"/>
                <w:highlight w:val="none"/>
                <w:lang w:bidi="ar"/>
                <w14:textFill>
                  <w14:solidFill>
                    <w14:schemeClr w14:val="tx1"/>
                  </w14:solidFill>
                </w14:textFill>
              </w:rPr>
              <w:t xml:space="preserve"> 年度遂宁市环境空气质量状况</w:t>
            </w:r>
          </w:p>
          <w:tbl>
            <w:tblPr>
              <w:tblStyle w:val="20"/>
              <w:tblW w:w="809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70"/>
              <w:gridCol w:w="1147"/>
              <w:gridCol w:w="675"/>
              <w:gridCol w:w="675"/>
              <w:gridCol w:w="688"/>
              <w:gridCol w:w="686"/>
              <w:gridCol w:w="704"/>
              <w:gridCol w:w="804"/>
              <w:gridCol w:w="839"/>
              <w:gridCol w:w="582"/>
              <w:gridCol w:w="424"/>
            </w:tblGrid>
            <w:tr w14:paraId="385F44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1274BBA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各县（市、区）、市直园区</w:t>
                  </w:r>
                </w:p>
              </w:tc>
              <w:tc>
                <w:tcPr>
                  <w:tcW w:w="1147" w:type="dxa"/>
                  <w:noWrap/>
                  <w:vAlign w:val="center"/>
                </w:tcPr>
                <w:p w14:paraId="23920D3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监测站点</w:t>
                  </w:r>
                </w:p>
              </w:tc>
              <w:tc>
                <w:tcPr>
                  <w:tcW w:w="675" w:type="dxa"/>
                  <w:noWrap/>
                  <w:vAlign w:val="center"/>
                </w:tcPr>
                <w:p w14:paraId="1906AC4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优良天数率</w:t>
                  </w:r>
                </w:p>
              </w:tc>
              <w:tc>
                <w:tcPr>
                  <w:tcW w:w="675" w:type="dxa"/>
                  <w:noWrap/>
                  <w:vAlign w:val="center"/>
                </w:tcPr>
                <w:p w14:paraId="138BD14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PM</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2.5</w:t>
                  </w:r>
                </w:p>
                <w:p w14:paraId="2C69548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7DADAC1D">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688" w:type="dxa"/>
                  <w:noWrap/>
                  <w:vAlign w:val="center"/>
                </w:tcPr>
                <w:p w14:paraId="4245D3DA">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PM</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10</w:t>
                  </w:r>
                </w:p>
                <w:p w14:paraId="47AAF5BC">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7F827EA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686" w:type="dxa"/>
                  <w:noWrap/>
                  <w:vAlign w:val="center"/>
                </w:tcPr>
                <w:p w14:paraId="5947F50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SO</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2</w:t>
                  </w:r>
                </w:p>
                <w:p w14:paraId="2A206F89">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37388D9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704" w:type="dxa"/>
                  <w:noWrap/>
                  <w:vAlign w:val="center"/>
                </w:tcPr>
                <w:p w14:paraId="34FAAD6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NO</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2</w:t>
                  </w:r>
                </w:p>
                <w:p w14:paraId="6BD1F7A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平均</w:t>
                  </w:r>
                </w:p>
                <w:p w14:paraId="690AB1D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浓度</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804" w:type="dxa"/>
                  <w:noWrap/>
                  <w:vAlign w:val="center"/>
                </w:tcPr>
                <w:p w14:paraId="0C27F73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O</w:t>
                  </w:r>
                  <w:r>
                    <w:rPr>
                      <w:rFonts w:hint="default" w:ascii="Times New Roman" w:hAnsi="Times New Roman" w:eastAsia="宋体" w:cs="Times New Roman"/>
                      <w:b/>
                      <w:color w:val="000000" w:themeColor="text1"/>
                      <w:kern w:val="0"/>
                      <w:sz w:val="21"/>
                      <w:szCs w:val="21"/>
                      <w:highlight w:val="none"/>
                      <w:vertAlign w:val="subscript"/>
                      <w:lang w:bidi="ar"/>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-8h</w:t>
                  </w:r>
                </w:p>
                <w:p w14:paraId="1252754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90百分位</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839" w:type="dxa"/>
                  <w:noWrap/>
                  <w:vAlign w:val="center"/>
                </w:tcPr>
                <w:p w14:paraId="63A5020D">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CO</w:t>
                  </w:r>
                </w:p>
                <w:p w14:paraId="59B2747C">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95百分位</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μg/m</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lang w:val="en-US" w:eastAsia="zh-CN" w:bidi="ar"/>
                      <w14:textFill>
                        <w14:solidFill>
                          <w14:schemeClr w14:val="tx1"/>
                        </w14:solidFill>
                      </w14:textFill>
                    </w:rPr>
                    <w:t>)</w:t>
                  </w:r>
                </w:p>
              </w:tc>
              <w:tc>
                <w:tcPr>
                  <w:tcW w:w="582" w:type="dxa"/>
                  <w:noWrap/>
                  <w:vAlign w:val="center"/>
                </w:tcPr>
                <w:p w14:paraId="6C6E01D3">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空气质量综合指数</w:t>
                  </w:r>
                </w:p>
              </w:tc>
              <w:tc>
                <w:tcPr>
                  <w:tcW w:w="424" w:type="dxa"/>
                  <w:noWrap/>
                  <w:vAlign w:val="center"/>
                </w:tcPr>
                <w:p w14:paraId="55D33B31">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bidi="ar"/>
                      <w14:textFill>
                        <w14:solidFill>
                          <w14:schemeClr w14:val="tx1"/>
                        </w14:solidFill>
                      </w14:textFill>
                    </w:rPr>
                    <w:t>是否达标</w:t>
                  </w:r>
                </w:p>
              </w:tc>
            </w:tr>
            <w:tr w14:paraId="03A706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vMerge w:val="restart"/>
                  <w:noWrap/>
                  <w:vAlign w:val="center"/>
                </w:tcPr>
                <w:p w14:paraId="1873FEE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遂宁</w:t>
                  </w:r>
                </w:p>
                <w:p w14:paraId="71C92CFA">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经开区</w:t>
                  </w:r>
                </w:p>
              </w:tc>
              <w:tc>
                <w:tcPr>
                  <w:tcW w:w="1147" w:type="dxa"/>
                  <w:noWrap/>
                  <w:vAlign w:val="center"/>
                </w:tcPr>
                <w:p w14:paraId="5B7C542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石溪浩</w:t>
                  </w:r>
                </w:p>
              </w:tc>
              <w:tc>
                <w:tcPr>
                  <w:tcW w:w="675" w:type="dxa"/>
                  <w:noWrap/>
                  <w:vAlign w:val="center"/>
                </w:tcPr>
                <w:p w14:paraId="4979CB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91.7%</w:t>
                  </w:r>
                </w:p>
              </w:tc>
              <w:tc>
                <w:tcPr>
                  <w:tcW w:w="675" w:type="dxa"/>
                  <w:noWrap/>
                  <w:vAlign w:val="center"/>
                </w:tcPr>
                <w:p w14:paraId="75A092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28.7</w:t>
                  </w:r>
                </w:p>
              </w:tc>
              <w:tc>
                <w:tcPr>
                  <w:tcW w:w="688" w:type="dxa"/>
                  <w:noWrap/>
                  <w:vAlign w:val="center"/>
                </w:tcPr>
                <w:p w14:paraId="0F1E85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51.8</w:t>
                  </w:r>
                </w:p>
              </w:tc>
              <w:tc>
                <w:tcPr>
                  <w:tcW w:w="686" w:type="dxa"/>
                  <w:noWrap/>
                  <w:vAlign w:val="center"/>
                </w:tcPr>
                <w:p w14:paraId="4F54602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8.0</w:t>
                  </w:r>
                </w:p>
              </w:tc>
              <w:tc>
                <w:tcPr>
                  <w:tcW w:w="704" w:type="dxa"/>
                  <w:noWrap/>
                  <w:vAlign w:val="center"/>
                </w:tcPr>
                <w:p w14:paraId="34B63E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20.9</w:t>
                  </w:r>
                </w:p>
              </w:tc>
              <w:tc>
                <w:tcPr>
                  <w:tcW w:w="804" w:type="dxa"/>
                  <w:noWrap/>
                  <w:vAlign w:val="center"/>
                </w:tcPr>
                <w:p w14:paraId="0752710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139.8</w:t>
                  </w:r>
                </w:p>
              </w:tc>
              <w:tc>
                <w:tcPr>
                  <w:tcW w:w="839" w:type="dxa"/>
                  <w:noWrap/>
                  <w:vAlign w:val="center"/>
                </w:tcPr>
                <w:p w14:paraId="306985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0.9</w:t>
                  </w:r>
                </w:p>
              </w:tc>
              <w:tc>
                <w:tcPr>
                  <w:tcW w:w="582" w:type="dxa"/>
                  <w:noWrap/>
                  <w:vAlign w:val="center"/>
                </w:tcPr>
                <w:p w14:paraId="2D4A3B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3.31 </w:t>
                  </w:r>
                </w:p>
              </w:tc>
              <w:tc>
                <w:tcPr>
                  <w:tcW w:w="424" w:type="dxa"/>
                  <w:noWrap/>
                  <w:vAlign w:val="center"/>
                </w:tcPr>
                <w:p w14:paraId="12CACD4D">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703521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vMerge w:val="continue"/>
                  <w:noWrap/>
                  <w:vAlign w:val="center"/>
                </w:tcPr>
                <w:p w14:paraId="5690B33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p>
              </w:tc>
              <w:tc>
                <w:tcPr>
                  <w:tcW w:w="1147" w:type="dxa"/>
                  <w:noWrap/>
                  <w:vAlign w:val="center"/>
                </w:tcPr>
                <w:p w14:paraId="16E9DBF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市监测站</w:t>
                  </w:r>
                </w:p>
              </w:tc>
              <w:tc>
                <w:tcPr>
                  <w:tcW w:w="675" w:type="dxa"/>
                  <w:noWrap/>
                  <w:vAlign w:val="center"/>
                </w:tcPr>
                <w:p w14:paraId="705682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94.6%</w:t>
                  </w:r>
                </w:p>
              </w:tc>
              <w:tc>
                <w:tcPr>
                  <w:tcW w:w="675" w:type="dxa"/>
                  <w:noWrap/>
                  <w:vAlign w:val="center"/>
                </w:tcPr>
                <w:p w14:paraId="0C40FCD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28.3</w:t>
                  </w:r>
                </w:p>
              </w:tc>
              <w:tc>
                <w:tcPr>
                  <w:tcW w:w="688" w:type="dxa"/>
                  <w:noWrap/>
                  <w:vAlign w:val="center"/>
                </w:tcPr>
                <w:p w14:paraId="24F859F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45.2</w:t>
                  </w:r>
                </w:p>
              </w:tc>
              <w:tc>
                <w:tcPr>
                  <w:tcW w:w="686" w:type="dxa"/>
                  <w:noWrap/>
                  <w:vAlign w:val="center"/>
                </w:tcPr>
                <w:p w14:paraId="52F9DAD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7.9</w:t>
                  </w:r>
                </w:p>
              </w:tc>
              <w:tc>
                <w:tcPr>
                  <w:tcW w:w="704" w:type="dxa"/>
                  <w:noWrap/>
                  <w:vAlign w:val="center"/>
                </w:tcPr>
                <w:p w14:paraId="296936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16.8</w:t>
                  </w:r>
                </w:p>
              </w:tc>
              <w:tc>
                <w:tcPr>
                  <w:tcW w:w="804" w:type="dxa"/>
                  <w:noWrap/>
                  <w:vAlign w:val="center"/>
                </w:tcPr>
                <w:p w14:paraId="15B747E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132.8</w:t>
                  </w:r>
                </w:p>
              </w:tc>
              <w:tc>
                <w:tcPr>
                  <w:tcW w:w="839" w:type="dxa"/>
                  <w:noWrap/>
                  <w:vAlign w:val="center"/>
                </w:tcPr>
                <w:p w14:paraId="0B4AC8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11714A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3.09 </w:t>
                  </w:r>
                </w:p>
              </w:tc>
              <w:tc>
                <w:tcPr>
                  <w:tcW w:w="424" w:type="dxa"/>
                  <w:noWrap/>
                  <w:vAlign w:val="center"/>
                </w:tcPr>
                <w:p w14:paraId="6F1BED45">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2AC44F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vMerge w:val="continue"/>
                  <w:noWrap/>
                  <w:vAlign w:val="center"/>
                </w:tcPr>
                <w:p w14:paraId="33412312">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147" w:type="dxa"/>
                  <w:noWrap/>
                  <w:vAlign w:val="center"/>
                </w:tcPr>
                <w:p w14:paraId="040583E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美宁食品</w:t>
                  </w:r>
                </w:p>
                <w:p w14:paraId="70C8705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公司</w:t>
                  </w:r>
                </w:p>
              </w:tc>
              <w:tc>
                <w:tcPr>
                  <w:tcW w:w="675" w:type="dxa"/>
                  <w:noWrap/>
                  <w:vAlign w:val="center"/>
                </w:tcPr>
                <w:p w14:paraId="32521F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94.0%</w:t>
                  </w:r>
                </w:p>
              </w:tc>
              <w:tc>
                <w:tcPr>
                  <w:tcW w:w="675" w:type="dxa"/>
                  <w:noWrap/>
                  <w:vAlign w:val="center"/>
                </w:tcPr>
                <w:p w14:paraId="5C392A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29.7</w:t>
                  </w:r>
                </w:p>
              </w:tc>
              <w:tc>
                <w:tcPr>
                  <w:tcW w:w="688" w:type="dxa"/>
                  <w:noWrap/>
                  <w:vAlign w:val="center"/>
                </w:tcPr>
                <w:p w14:paraId="6E0EC4A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51.6</w:t>
                  </w:r>
                </w:p>
              </w:tc>
              <w:tc>
                <w:tcPr>
                  <w:tcW w:w="686" w:type="dxa"/>
                  <w:noWrap/>
                  <w:vAlign w:val="center"/>
                </w:tcPr>
                <w:p w14:paraId="1C41574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9.5</w:t>
                  </w:r>
                </w:p>
              </w:tc>
              <w:tc>
                <w:tcPr>
                  <w:tcW w:w="704" w:type="dxa"/>
                  <w:noWrap/>
                  <w:vAlign w:val="center"/>
                </w:tcPr>
                <w:p w14:paraId="0C4961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19.4</w:t>
                  </w:r>
                </w:p>
              </w:tc>
              <w:tc>
                <w:tcPr>
                  <w:tcW w:w="804" w:type="dxa"/>
                  <w:noWrap/>
                  <w:vAlign w:val="center"/>
                </w:tcPr>
                <w:p w14:paraId="77D598C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129.8</w:t>
                  </w:r>
                </w:p>
              </w:tc>
              <w:tc>
                <w:tcPr>
                  <w:tcW w:w="839" w:type="dxa"/>
                  <w:noWrap/>
                  <w:vAlign w:val="center"/>
                </w:tcPr>
                <w:p w14:paraId="11C0573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16F622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3.29 </w:t>
                  </w:r>
                </w:p>
              </w:tc>
              <w:tc>
                <w:tcPr>
                  <w:tcW w:w="424" w:type="dxa"/>
                  <w:noWrap/>
                  <w:vAlign w:val="center"/>
                </w:tcPr>
                <w:p w14:paraId="7A933194">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05D3B8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2D0083D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市河东</w:t>
                  </w:r>
                </w:p>
                <w:p w14:paraId="22D973A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新区</w:t>
                  </w:r>
                </w:p>
              </w:tc>
              <w:tc>
                <w:tcPr>
                  <w:tcW w:w="1147" w:type="dxa"/>
                  <w:noWrap/>
                  <w:vAlign w:val="center"/>
                </w:tcPr>
                <w:p w14:paraId="339AFC9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行政中心</w:t>
                  </w:r>
                </w:p>
              </w:tc>
              <w:tc>
                <w:tcPr>
                  <w:tcW w:w="675" w:type="dxa"/>
                  <w:noWrap/>
                  <w:vAlign w:val="center"/>
                </w:tcPr>
                <w:p w14:paraId="6CDB5D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92.3%</w:t>
                  </w:r>
                </w:p>
              </w:tc>
              <w:tc>
                <w:tcPr>
                  <w:tcW w:w="675" w:type="dxa"/>
                  <w:noWrap/>
                  <w:vAlign w:val="center"/>
                </w:tcPr>
                <w:p w14:paraId="2A4731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29.3</w:t>
                  </w:r>
                </w:p>
              </w:tc>
              <w:tc>
                <w:tcPr>
                  <w:tcW w:w="688" w:type="dxa"/>
                  <w:noWrap/>
                  <w:vAlign w:val="center"/>
                </w:tcPr>
                <w:p w14:paraId="1FE5487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45.5</w:t>
                  </w:r>
                </w:p>
              </w:tc>
              <w:tc>
                <w:tcPr>
                  <w:tcW w:w="686" w:type="dxa"/>
                  <w:noWrap/>
                  <w:vAlign w:val="center"/>
                </w:tcPr>
                <w:p w14:paraId="10B704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8.1</w:t>
                  </w:r>
                </w:p>
              </w:tc>
              <w:tc>
                <w:tcPr>
                  <w:tcW w:w="704" w:type="dxa"/>
                  <w:noWrap/>
                  <w:vAlign w:val="center"/>
                </w:tcPr>
                <w:p w14:paraId="1E9FB0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17.8</w:t>
                  </w:r>
                </w:p>
              </w:tc>
              <w:tc>
                <w:tcPr>
                  <w:tcW w:w="804" w:type="dxa"/>
                  <w:noWrap/>
                  <w:vAlign w:val="center"/>
                </w:tcPr>
                <w:p w14:paraId="64CF84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135.0</w:t>
                  </w:r>
                </w:p>
              </w:tc>
              <w:tc>
                <w:tcPr>
                  <w:tcW w:w="839" w:type="dxa"/>
                  <w:noWrap/>
                  <w:vAlign w:val="center"/>
                </w:tcPr>
                <w:p w14:paraId="591B69D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278800A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3.16 </w:t>
                  </w:r>
                </w:p>
              </w:tc>
              <w:tc>
                <w:tcPr>
                  <w:tcW w:w="424" w:type="dxa"/>
                  <w:noWrap/>
                  <w:vAlign w:val="center"/>
                </w:tcPr>
                <w:p w14:paraId="050F63A1">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5A364A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38492C9F">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船山区</w:t>
                  </w:r>
                </w:p>
              </w:tc>
              <w:tc>
                <w:tcPr>
                  <w:tcW w:w="1147" w:type="dxa"/>
                  <w:noWrap/>
                  <w:vAlign w:val="center"/>
                </w:tcPr>
                <w:p w14:paraId="17237D7D">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遂中实验校</w:t>
                  </w:r>
                </w:p>
              </w:tc>
              <w:tc>
                <w:tcPr>
                  <w:tcW w:w="675" w:type="dxa"/>
                  <w:noWrap/>
                  <w:vAlign w:val="center"/>
                </w:tcPr>
                <w:p w14:paraId="144AEED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91.8%</w:t>
                  </w:r>
                </w:p>
              </w:tc>
              <w:tc>
                <w:tcPr>
                  <w:tcW w:w="675" w:type="dxa"/>
                  <w:noWrap/>
                  <w:vAlign w:val="center"/>
                </w:tcPr>
                <w:p w14:paraId="41CBF3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30.4</w:t>
                  </w:r>
                </w:p>
              </w:tc>
              <w:tc>
                <w:tcPr>
                  <w:tcW w:w="688" w:type="dxa"/>
                  <w:noWrap/>
                  <w:vAlign w:val="center"/>
                </w:tcPr>
                <w:p w14:paraId="4A0C498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46.0</w:t>
                  </w:r>
                </w:p>
              </w:tc>
              <w:tc>
                <w:tcPr>
                  <w:tcW w:w="686" w:type="dxa"/>
                  <w:noWrap/>
                  <w:vAlign w:val="center"/>
                </w:tcPr>
                <w:p w14:paraId="052ED5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5.4</w:t>
                  </w:r>
                </w:p>
              </w:tc>
              <w:tc>
                <w:tcPr>
                  <w:tcW w:w="704" w:type="dxa"/>
                  <w:noWrap/>
                  <w:vAlign w:val="center"/>
                </w:tcPr>
                <w:p w14:paraId="3DED160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17.9</w:t>
                  </w:r>
                </w:p>
              </w:tc>
              <w:tc>
                <w:tcPr>
                  <w:tcW w:w="804" w:type="dxa"/>
                  <w:noWrap/>
                  <w:vAlign w:val="center"/>
                </w:tcPr>
                <w:p w14:paraId="75596C9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137.0</w:t>
                  </w:r>
                </w:p>
              </w:tc>
              <w:tc>
                <w:tcPr>
                  <w:tcW w:w="839" w:type="dxa"/>
                  <w:noWrap/>
                  <w:vAlign w:val="center"/>
                </w:tcPr>
                <w:p w14:paraId="3FA74B8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0.9</w:t>
                  </w:r>
                </w:p>
              </w:tc>
              <w:tc>
                <w:tcPr>
                  <w:tcW w:w="582" w:type="dxa"/>
                  <w:noWrap/>
                  <w:vAlign w:val="center"/>
                </w:tcPr>
                <w:p w14:paraId="792F8C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3.14 </w:t>
                  </w:r>
                </w:p>
              </w:tc>
              <w:tc>
                <w:tcPr>
                  <w:tcW w:w="424" w:type="dxa"/>
                  <w:noWrap/>
                  <w:vAlign w:val="center"/>
                </w:tcPr>
                <w:p w14:paraId="389879D7">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397F8B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34378458">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安居区</w:t>
                  </w:r>
                </w:p>
              </w:tc>
              <w:tc>
                <w:tcPr>
                  <w:tcW w:w="1147" w:type="dxa"/>
                  <w:noWrap/>
                  <w:vAlign w:val="center"/>
                </w:tcPr>
                <w:p w14:paraId="73FD425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安居检察院</w:t>
                  </w:r>
                </w:p>
              </w:tc>
              <w:tc>
                <w:tcPr>
                  <w:tcW w:w="675" w:type="dxa"/>
                  <w:noWrap/>
                  <w:vAlign w:val="center"/>
                </w:tcPr>
                <w:p w14:paraId="4A59891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94.5%</w:t>
                  </w:r>
                </w:p>
              </w:tc>
              <w:tc>
                <w:tcPr>
                  <w:tcW w:w="675" w:type="dxa"/>
                  <w:noWrap/>
                  <w:vAlign w:val="center"/>
                </w:tcPr>
                <w:p w14:paraId="71FB45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23.6</w:t>
                  </w:r>
                </w:p>
              </w:tc>
              <w:tc>
                <w:tcPr>
                  <w:tcW w:w="688" w:type="dxa"/>
                  <w:noWrap/>
                  <w:vAlign w:val="center"/>
                </w:tcPr>
                <w:p w14:paraId="5CD3D7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39.2</w:t>
                  </w:r>
                </w:p>
              </w:tc>
              <w:tc>
                <w:tcPr>
                  <w:tcW w:w="686" w:type="dxa"/>
                  <w:noWrap/>
                  <w:vAlign w:val="center"/>
                </w:tcPr>
                <w:p w14:paraId="5F30BF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5.2</w:t>
                  </w:r>
                </w:p>
              </w:tc>
              <w:tc>
                <w:tcPr>
                  <w:tcW w:w="704" w:type="dxa"/>
                  <w:noWrap/>
                  <w:vAlign w:val="center"/>
                </w:tcPr>
                <w:p w14:paraId="082410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10.4</w:t>
                  </w:r>
                </w:p>
              </w:tc>
              <w:tc>
                <w:tcPr>
                  <w:tcW w:w="804" w:type="dxa"/>
                  <w:noWrap/>
                  <w:vAlign w:val="center"/>
                </w:tcPr>
                <w:p w14:paraId="488987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136.5</w:t>
                  </w:r>
                </w:p>
              </w:tc>
              <w:tc>
                <w:tcPr>
                  <w:tcW w:w="839" w:type="dxa"/>
                  <w:noWrap/>
                  <w:vAlign w:val="center"/>
                </w:tcPr>
                <w:p w14:paraId="1F8DC7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1.1</w:t>
                  </w:r>
                </w:p>
              </w:tc>
              <w:tc>
                <w:tcPr>
                  <w:tcW w:w="582" w:type="dxa"/>
                  <w:noWrap/>
                  <w:vAlign w:val="center"/>
                </w:tcPr>
                <w:p w14:paraId="02A9D06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2.71 </w:t>
                  </w:r>
                </w:p>
              </w:tc>
              <w:tc>
                <w:tcPr>
                  <w:tcW w:w="424" w:type="dxa"/>
                  <w:noWrap/>
                  <w:vAlign w:val="center"/>
                </w:tcPr>
                <w:p w14:paraId="0F9036F6">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7A1812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30725974">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射洪市</w:t>
                  </w:r>
                </w:p>
              </w:tc>
              <w:tc>
                <w:tcPr>
                  <w:tcW w:w="1147" w:type="dxa"/>
                  <w:noWrap/>
                  <w:vAlign w:val="center"/>
                </w:tcPr>
                <w:p w14:paraId="34E26C05">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生态环境局</w:t>
                  </w:r>
                </w:p>
              </w:tc>
              <w:tc>
                <w:tcPr>
                  <w:tcW w:w="675" w:type="dxa"/>
                  <w:noWrap/>
                  <w:vAlign w:val="center"/>
                </w:tcPr>
                <w:p w14:paraId="2436A4B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94.8%</w:t>
                  </w:r>
                </w:p>
              </w:tc>
              <w:tc>
                <w:tcPr>
                  <w:tcW w:w="675" w:type="dxa"/>
                  <w:noWrap/>
                  <w:vAlign w:val="center"/>
                </w:tcPr>
                <w:p w14:paraId="034607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25.0</w:t>
                  </w:r>
                </w:p>
              </w:tc>
              <w:tc>
                <w:tcPr>
                  <w:tcW w:w="688" w:type="dxa"/>
                  <w:noWrap/>
                  <w:vAlign w:val="center"/>
                </w:tcPr>
                <w:p w14:paraId="35BB2B1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52.2</w:t>
                  </w:r>
                </w:p>
              </w:tc>
              <w:tc>
                <w:tcPr>
                  <w:tcW w:w="686" w:type="dxa"/>
                  <w:noWrap/>
                  <w:vAlign w:val="center"/>
                </w:tcPr>
                <w:p w14:paraId="49A348F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3.5</w:t>
                  </w:r>
                </w:p>
              </w:tc>
              <w:tc>
                <w:tcPr>
                  <w:tcW w:w="704" w:type="dxa"/>
                  <w:noWrap/>
                  <w:vAlign w:val="center"/>
                </w:tcPr>
                <w:p w14:paraId="5D5511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13.3</w:t>
                  </w:r>
                </w:p>
              </w:tc>
              <w:tc>
                <w:tcPr>
                  <w:tcW w:w="804" w:type="dxa"/>
                  <w:noWrap/>
                  <w:vAlign w:val="center"/>
                </w:tcPr>
                <w:p w14:paraId="753109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123.5</w:t>
                  </w:r>
                </w:p>
              </w:tc>
              <w:tc>
                <w:tcPr>
                  <w:tcW w:w="839" w:type="dxa"/>
                  <w:noWrap/>
                  <w:vAlign w:val="center"/>
                </w:tcPr>
                <w:p w14:paraId="4D3A8BA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1.1</w:t>
                  </w:r>
                </w:p>
              </w:tc>
              <w:tc>
                <w:tcPr>
                  <w:tcW w:w="582" w:type="dxa"/>
                  <w:noWrap/>
                  <w:vAlign w:val="center"/>
                </w:tcPr>
                <w:p w14:paraId="2E271B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2.90 </w:t>
                  </w:r>
                </w:p>
              </w:tc>
              <w:tc>
                <w:tcPr>
                  <w:tcW w:w="424" w:type="dxa"/>
                  <w:noWrap/>
                  <w:vAlign w:val="center"/>
                </w:tcPr>
                <w:p w14:paraId="27EF78D1">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r w14:paraId="178FCC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2BFDDEC9">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t>蓬溪县</w:t>
                  </w:r>
                </w:p>
              </w:tc>
              <w:tc>
                <w:tcPr>
                  <w:tcW w:w="1147" w:type="dxa"/>
                  <w:noWrap/>
                  <w:vAlign w:val="center"/>
                </w:tcPr>
                <w:p w14:paraId="52C24174">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t>实验中学</w:t>
                  </w:r>
                </w:p>
              </w:tc>
              <w:tc>
                <w:tcPr>
                  <w:tcW w:w="675" w:type="dxa"/>
                  <w:noWrap/>
                  <w:vAlign w:val="center"/>
                </w:tcPr>
                <w:p w14:paraId="62CB4F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93.7%</w:t>
                  </w:r>
                </w:p>
              </w:tc>
              <w:tc>
                <w:tcPr>
                  <w:tcW w:w="675" w:type="dxa"/>
                  <w:noWrap/>
                  <w:vAlign w:val="center"/>
                </w:tcPr>
                <w:p w14:paraId="33993B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29.4</w:t>
                  </w:r>
                </w:p>
              </w:tc>
              <w:tc>
                <w:tcPr>
                  <w:tcW w:w="688" w:type="dxa"/>
                  <w:noWrap/>
                  <w:vAlign w:val="center"/>
                </w:tcPr>
                <w:p w14:paraId="60B8F69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44.8</w:t>
                  </w:r>
                </w:p>
              </w:tc>
              <w:tc>
                <w:tcPr>
                  <w:tcW w:w="686" w:type="dxa"/>
                  <w:noWrap/>
                  <w:vAlign w:val="center"/>
                </w:tcPr>
                <w:p w14:paraId="000F4C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6.9</w:t>
                  </w:r>
                </w:p>
              </w:tc>
              <w:tc>
                <w:tcPr>
                  <w:tcW w:w="704" w:type="dxa"/>
                  <w:noWrap/>
                  <w:vAlign w:val="center"/>
                </w:tcPr>
                <w:p w14:paraId="0B3E2E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15.3</w:t>
                  </w:r>
                </w:p>
              </w:tc>
              <w:tc>
                <w:tcPr>
                  <w:tcW w:w="804" w:type="dxa"/>
                  <w:noWrap/>
                  <w:vAlign w:val="center"/>
                </w:tcPr>
                <w:p w14:paraId="730D65C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127.5</w:t>
                  </w:r>
                </w:p>
              </w:tc>
              <w:tc>
                <w:tcPr>
                  <w:tcW w:w="839" w:type="dxa"/>
                  <w:noWrap/>
                  <w:vAlign w:val="center"/>
                </w:tcPr>
                <w:p w14:paraId="6B5A637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1.0</w:t>
                  </w:r>
                </w:p>
              </w:tc>
              <w:tc>
                <w:tcPr>
                  <w:tcW w:w="582" w:type="dxa"/>
                  <w:noWrap/>
                  <w:vAlign w:val="center"/>
                </w:tcPr>
                <w:p w14:paraId="4F02747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bCs/>
                      <w:i w:val="0"/>
                      <w:color w:val="000000" w:themeColor="text1"/>
                      <w:kern w:val="0"/>
                      <w:sz w:val="21"/>
                      <w:szCs w:val="21"/>
                      <w:highlight w:val="none"/>
                      <w:u w:val="none"/>
                      <w:lang w:val="en-US" w:eastAsia="zh-CN" w:bidi="ar"/>
                      <w14:textFill>
                        <w14:solidFill>
                          <w14:schemeClr w14:val="tx1"/>
                        </w14:solidFill>
                      </w14:textFill>
                    </w:rPr>
                    <w:t xml:space="preserve">3.02 </w:t>
                  </w:r>
                </w:p>
              </w:tc>
              <w:tc>
                <w:tcPr>
                  <w:tcW w:w="424" w:type="dxa"/>
                  <w:noWrap/>
                  <w:vAlign w:val="center"/>
                </w:tcPr>
                <w:p w14:paraId="754E7F00">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bidi="ar"/>
                      <w14:textFill>
                        <w14:solidFill>
                          <w14:schemeClr w14:val="tx1"/>
                        </w14:solidFill>
                      </w14:textFill>
                    </w:rPr>
                    <w:t>是</w:t>
                  </w:r>
                </w:p>
              </w:tc>
            </w:tr>
            <w:tr w14:paraId="6652B6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70" w:type="dxa"/>
                  <w:noWrap/>
                  <w:vAlign w:val="center"/>
                </w:tcPr>
                <w:p w14:paraId="7A7238DB">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大英县</w:t>
                  </w:r>
                </w:p>
              </w:tc>
              <w:tc>
                <w:tcPr>
                  <w:tcW w:w="1147" w:type="dxa"/>
                  <w:noWrap/>
                  <w:vAlign w:val="center"/>
                </w:tcPr>
                <w:p w14:paraId="577F3ACE">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大英县气象观测站</w:t>
                  </w:r>
                </w:p>
              </w:tc>
              <w:tc>
                <w:tcPr>
                  <w:tcW w:w="675" w:type="dxa"/>
                  <w:noWrap/>
                  <w:vAlign w:val="center"/>
                </w:tcPr>
                <w:p w14:paraId="78763F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95.4%</w:t>
                  </w:r>
                </w:p>
              </w:tc>
              <w:tc>
                <w:tcPr>
                  <w:tcW w:w="675" w:type="dxa"/>
                  <w:noWrap/>
                  <w:vAlign w:val="center"/>
                </w:tcPr>
                <w:p w14:paraId="2615CC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25.7</w:t>
                  </w:r>
                </w:p>
              </w:tc>
              <w:tc>
                <w:tcPr>
                  <w:tcW w:w="688" w:type="dxa"/>
                  <w:noWrap/>
                  <w:vAlign w:val="center"/>
                </w:tcPr>
                <w:p w14:paraId="3F744A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39.5</w:t>
                  </w:r>
                </w:p>
              </w:tc>
              <w:tc>
                <w:tcPr>
                  <w:tcW w:w="686" w:type="dxa"/>
                  <w:noWrap/>
                  <w:vAlign w:val="center"/>
                </w:tcPr>
                <w:p w14:paraId="5D8F8B9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4.5</w:t>
                  </w:r>
                </w:p>
              </w:tc>
              <w:tc>
                <w:tcPr>
                  <w:tcW w:w="704" w:type="dxa"/>
                  <w:noWrap/>
                  <w:vAlign w:val="center"/>
                </w:tcPr>
                <w:p w14:paraId="07336AD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10.9</w:t>
                  </w:r>
                </w:p>
              </w:tc>
              <w:tc>
                <w:tcPr>
                  <w:tcW w:w="804" w:type="dxa"/>
                  <w:noWrap/>
                  <w:vAlign w:val="center"/>
                </w:tcPr>
                <w:p w14:paraId="0EB03C0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128.0</w:t>
                  </w:r>
                </w:p>
              </w:tc>
              <w:tc>
                <w:tcPr>
                  <w:tcW w:w="839" w:type="dxa"/>
                  <w:noWrap/>
                  <w:vAlign w:val="center"/>
                </w:tcPr>
                <w:p w14:paraId="62FF62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1.2</w:t>
                  </w:r>
                </w:p>
              </w:tc>
              <w:tc>
                <w:tcPr>
                  <w:tcW w:w="582" w:type="dxa"/>
                  <w:noWrap/>
                  <w:vAlign w:val="center"/>
                </w:tcPr>
                <w:p w14:paraId="2BE102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Cs/>
                      <w:i w:val="0"/>
                      <w:color w:val="000000" w:themeColor="text1"/>
                      <w:kern w:val="0"/>
                      <w:sz w:val="21"/>
                      <w:szCs w:val="21"/>
                      <w:highlight w:val="none"/>
                      <w:u w:val="none"/>
                      <w:lang w:val="en-US" w:eastAsia="zh-CN" w:bidi="ar"/>
                      <w14:textFill>
                        <w14:solidFill>
                          <w14:schemeClr w14:val="tx1"/>
                        </w14:solidFill>
                      </w14:textFill>
                    </w:rPr>
                    <w:t xml:space="preserve">2.75 </w:t>
                  </w:r>
                </w:p>
              </w:tc>
              <w:tc>
                <w:tcPr>
                  <w:tcW w:w="424" w:type="dxa"/>
                  <w:noWrap/>
                  <w:vAlign w:val="center"/>
                </w:tcPr>
                <w:p w14:paraId="73BCA9A8">
                  <w:pPr>
                    <w:keepNext w:val="0"/>
                    <w:keepLines w:val="0"/>
                    <w:pageBreakBefore w:val="0"/>
                    <w:widowControl/>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t>是</w:t>
                  </w:r>
                </w:p>
              </w:tc>
            </w:tr>
          </w:tbl>
          <w:p w14:paraId="3192DACA">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由表3-1可知，项目所在区域空气质量良好，SO</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2</w:t>
            </w:r>
            <w:r>
              <w:rPr>
                <w:rFonts w:hint="eastAsia" w:ascii="Times New Roman" w:hAnsi="Times New Roman" w:eastAsia="宋体"/>
                <w:color w:val="000000" w:themeColor="text1"/>
                <w:kern w:val="0"/>
                <w:sz w:val="24"/>
                <w:szCs w:val="24"/>
                <w:highlight w:val="none"/>
                <w14:textFill>
                  <w14:solidFill>
                    <w14:schemeClr w14:val="tx1"/>
                  </w14:solidFill>
                </w14:textFill>
              </w:rPr>
              <w:t>、CO、NO</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2</w:t>
            </w:r>
            <w:r>
              <w:rPr>
                <w:rFonts w:hint="eastAsia" w:ascii="Times New Roman" w:hAnsi="Times New Roman" w:eastAsia="宋体"/>
                <w:color w:val="000000" w:themeColor="text1"/>
                <w:kern w:val="0"/>
                <w:sz w:val="24"/>
                <w:szCs w:val="24"/>
                <w:highlight w:val="none"/>
                <w14:textFill>
                  <w14:solidFill>
                    <w14:schemeClr w14:val="tx1"/>
                  </w14:solidFill>
                </w14:textFill>
              </w:rPr>
              <w:t>、PM</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2.5</w:t>
            </w:r>
            <w:r>
              <w:rPr>
                <w:rFonts w:hint="eastAsia" w:ascii="Times New Roman" w:hAnsi="Times New Roman" w:eastAsia="宋体"/>
                <w:color w:val="000000" w:themeColor="text1"/>
                <w:kern w:val="0"/>
                <w:sz w:val="24"/>
                <w:szCs w:val="24"/>
                <w:highlight w:val="none"/>
                <w14:textFill>
                  <w14:solidFill>
                    <w14:schemeClr w14:val="tx1"/>
                  </w14:solidFill>
                </w14:textFill>
              </w:rPr>
              <w:t>、PM</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10</w:t>
            </w:r>
            <w:r>
              <w:rPr>
                <w:rFonts w:hint="eastAsia" w:ascii="Times New Roman" w:hAnsi="Times New Roman" w:eastAsia="宋体"/>
                <w:color w:val="000000" w:themeColor="text1"/>
                <w:kern w:val="0"/>
                <w:sz w:val="24"/>
                <w:szCs w:val="24"/>
                <w:highlight w:val="none"/>
                <w14:textFill>
                  <w14:solidFill>
                    <w14:schemeClr w14:val="tx1"/>
                  </w14:solidFill>
                </w14:textFill>
              </w:rPr>
              <w:t>、O</w:t>
            </w:r>
            <w:r>
              <w:rPr>
                <w:rFonts w:hint="eastAsia" w:ascii="Times New Roman" w:hAnsi="Times New Roman" w:eastAsia="宋体"/>
                <w:color w:val="000000" w:themeColor="text1"/>
                <w:kern w:val="0"/>
                <w:sz w:val="24"/>
                <w:szCs w:val="24"/>
                <w:highlight w:val="none"/>
                <w:vertAlign w:val="subscript"/>
                <w14:textFill>
                  <w14:solidFill>
                    <w14:schemeClr w14:val="tx1"/>
                  </w14:solidFill>
                </w14:textFill>
              </w:rPr>
              <w:t>3</w:t>
            </w:r>
            <w:r>
              <w:rPr>
                <w:rFonts w:hint="eastAsia" w:ascii="Times New Roman" w:hAnsi="Times New Roman" w:eastAsia="宋体"/>
                <w:color w:val="000000" w:themeColor="text1"/>
                <w:kern w:val="0"/>
                <w:sz w:val="24"/>
                <w:szCs w:val="24"/>
                <w:highlight w:val="none"/>
                <w14:textFill>
                  <w14:solidFill>
                    <w14:schemeClr w14:val="tx1"/>
                  </w14:solidFill>
                </w14:textFill>
              </w:rPr>
              <w:t>浓度均能满足《环境空气质量标准》（GB3095-2012）中二级标准，本项目所在区域属于达标区。</w:t>
            </w:r>
          </w:p>
          <w:p w14:paraId="65620DC4">
            <w:pPr>
              <w:spacing w:line="500" w:lineRule="exact"/>
              <w:ind w:firstLine="482" w:firstLineChars="200"/>
              <w:rPr>
                <w:rFonts w:hint="eastAsia"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2、其他污染物环境质量现状</w:t>
            </w:r>
          </w:p>
          <w:p w14:paraId="08A59A31">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本项目排放特征污染物主要是颗粒物，本项目为了解项目所在区域大气环境质量，引用四川锡水金山环保科技有限公司于2021年10月20日~10月27日对“遂宁华川沥青销售有限公司80万吨/年新型聚合物改性沥青项目”的总悬浮颗粒物进行的现场采样监测（项目编号：SCXSJSHBKJYXGS5031-0001）。</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监测点位</w:t>
            </w:r>
            <w:r>
              <w:rPr>
                <w:rFonts w:hint="eastAsia" w:ascii="Times New Roman" w:hAnsi="Times New Roman" w:eastAsia="宋体"/>
                <w:color w:val="000000" w:themeColor="text1"/>
                <w:kern w:val="0"/>
                <w:sz w:val="24"/>
                <w:szCs w:val="24"/>
                <w:highlight w:val="none"/>
                <w14:textFill>
                  <w14:solidFill>
                    <w14:schemeClr w14:val="tx1"/>
                  </w14:solidFill>
                </w14:textFill>
              </w:rPr>
              <w:t>位于本项目西侧，与本项目距离约</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0.15</w:t>
            </w:r>
            <w:r>
              <w:rPr>
                <w:rFonts w:hint="eastAsia" w:ascii="Times New Roman" w:hAnsi="Times New Roman" w:eastAsia="宋体"/>
                <w:color w:val="000000" w:themeColor="text1"/>
                <w:kern w:val="0"/>
                <w:sz w:val="24"/>
                <w:szCs w:val="24"/>
                <w:highlight w:val="none"/>
                <w14:textFill>
                  <w14:solidFill>
                    <w14:schemeClr w14:val="tx1"/>
                  </w14:solidFill>
                </w14:textFill>
              </w:rPr>
              <w:t>km，监测至今区域污染源未发生较大变化，上述引用数据可以反映本项目区域的环境空气质量现状，引用数据有效。</w:t>
            </w:r>
          </w:p>
          <w:p w14:paraId="0E28413E">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（1）监测点位、监测项目、监测时间及频次</w:t>
            </w:r>
          </w:p>
          <w:p w14:paraId="1B4A6444">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监测点位：项目场地</w:t>
            </w:r>
            <w:r>
              <w:rPr>
                <w:rFonts w:hint="eastAsia" w:ascii="Times New Roman" w:hAnsi="Times New Roman" w:eastAsia="宋体"/>
                <w:color w:val="000000" w:themeColor="text1"/>
                <w:sz w:val="24"/>
                <w:szCs w:val="24"/>
                <w:highlight w:val="none"/>
                <w:lang w:eastAsia="zh-CN"/>
                <w14:textFill>
                  <w14:solidFill>
                    <w14:schemeClr w14:val="tx1"/>
                  </w14:solidFill>
                </w14:textFill>
              </w:rPr>
              <w:t>西侧</w:t>
            </w:r>
            <w:r>
              <w:rPr>
                <w:rFonts w:hint="eastAsia" w:ascii="Times New Roman" w:hAnsi="Times New Roman" w:eastAsia="宋体"/>
                <w:color w:val="000000" w:themeColor="text1"/>
                <w:kern w:val="0"/>
                <w:sz w:val="24"/>
                <w:szCs w:val="24"/>
                <w:highlight w:val="none"/>
                <w14:textFill>
                  <w14:solidFill>
                    <w14:schemeClr w14:val="tx1"/>
                  </w14:solidFill>
                </w14:textFill>
              </w:rPr>
              <w:t>约</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0.15</w:t>
            </w:r>
            <w:r>
              <w:rPr>
                <w:rFonts w:hint="eastAsia" w:ascii="Times New Roman" w:hAnsi="Times New Roman" w:eastAsia="宋体"/>
                <w:color w:val="000000" w:themeColor="text1"/>
                <w:kern w:val="0"/>
                <w:sz w:val="24"/>
                <w:szCs w:val="24"/>
                <w:highlight w:val="none"/>
                <w14:textFill>
                  <w14:solidFill>
                    <w14:schemeClr w14:val="tx1"/>
                  </w14:solidFill>
                </w14:textFill>
              </w:rPr>
              <w:t>km</w:t>
            </w:r>
          </w:p>
          <w:p w14:paraId="5FF6F35A">
            <w:pPr>
              <w:adjustRightInd w:val="0"/>
              <w:spacing w:line="500" w:lineRule="exact"/>
              <w:ind w:firstLine="480" w:firstLineChars="200"/>
              <w:rPr>
                <w:rFonts w:ascii="Times New Roman" w:hAnsi="Times New Roman" w:eastAsia="宋体"/>
                <w:color w:val="000000" w:themeColor="text1"/>
                <w:sz w:val="24"/>
                <w:szCs w:val="24"/>
                <w:highlight w:val="none"/>
                <w:vertAlign w:val="subscript"/>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监测因子：</w:t>
            </w:r>
            <w:r>
              <w:rPr>
                <w:rFonts w:ascii="Times New Roman" w:hAnsi="Times New Roman" w:eastAsia="宋体"/>
                <w:color w:val="000000" w:themeColor="text1"/>
                <w:sz w:val="24"/>
                <w:szCs w:val="24"/>
                <w:highlight w:val="none"/>
                <w14:textFill>
                  <w14:solidFill>
                    <w14:schemeClr w14:val="tx1"/>
                  </w14:solidFill>
                </w14:textFill>
              </w:rPr>
              <w:t>TSP</w:t>
            </w:r>
          </w:p>
          <w:p w14:paraId="1AFCB352">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监测时间及频次：连续</w:t>
            </w:r>
            <w:r>
              <w:rPr>
                <w:rFonts w:ascii="Times New Roman" w:hAnsi="Times New Roman" w:eastAsia="宋体"/>
                <w:color w:val="000000" w:themeColor="text1"/>
                <w:sz w:val="24"/>
                <w:szCs w:val="24"/>
                <w:highlight w:val="none"/>
                <w14:textFill>
                  <w14:solidFill>
                    <w14:schemeClr w14:val="tx1"/>
                  </w14:solidFill>
                </w14:textFill>
              </w:rPr>
              <w:t>监测</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w:t>
            </w:r>
            <w:r>
              <w:rPr>
                <w:rFonts w:ascii="Times New Roman" w:hAnsi="Times New Roman" w:eastAsia="宋体"/>
                <w:color w:val="000000" w:themeColor="text1"/>
                <w:sz w:val="24"/>
                <w:szCs w:val="24"/>
                <w:highlight w:val="none"/>
                <w14:textFill>
                  <w14:solidFill>
                    <w14:schemeClr w14:val="tx1"/>
                  </w14:solidFill>
                </w14:textFill>
              </w:rPr>
              <w:t>天。TSP</w:t>
            </w:r>
            <w:r>
              <w:rPr>
                <w:rFonts w:hint="eastAsia" w:ascii="Times New Roman" w:hAnsi="Times New Roman" w:eastAsia="宋体"/>
                <w:color w:val="000000" w:themeColor="text1"/>
                <w:sz w:val="24"/>
                <w:szCs w:val="24"/>
                <w:highlight w:val="none"/>
                <w14:textFill>
                  <w14:solidFill>
                    <w14:schemeClr w14:val="tx1"/>
                  </w14:solidFill>
                </w14:textFill>
              </w:rPr>
              <w:t>测日平均浓度，每天采样一次。</w:t>
            </w:r>
          </w:p>
          <w:p w14:paraId="36500F9D">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监测结果统计与评价</w:t>
            </w:r>
          </w:p>
          <w:p w14:paraId="6FF19C0F">
            <w:pPr>
              <w:spacing w:line="500" w:lineRule="exact"/>
              <w:ind w:firstLine="480" w:firstLineChars="200"/>
              <w:jc w:val="left"/>
              <w:rPr>
                <w:rFonts w:ascii="Times New Roman" w:hAnsi="Times New Roman" w:eastAsia="宋体"/>
                <w:color w:val="000000" w:themeColor="text1"/>
                <w:sz w:val="24"/>
                <w:highlight w:val="none"/>
                <w14:textFill>
                  <w14:solidFill>
                    <w14:schemeClr w14:val="tx1"/>
                  </w14:solidFill>
                </w14:textFill>
              </w:rPr>
            </w:pPr>
            <w:r>
              <w:rPr>
                <w:rFonts w:ascii="Times New Roman" w:hAnsi="Times New Roman" w:eastAsia="宋体"/>
                <w:color w:val="000000" w:themeColor="text1"/>
                <w:sz w:val="24"/>
                <w:highlight w:val="none"/>
                <w14:textFill>
                  <w14:solidFill>
                    <w14:schemeClr w14:val="tx1"/>
                  </w14:solidFill>
                </w14:textFill>
              </w:rPr>
              <w:t>监测统计结果见下表。</w:t>
            </w:r>
          </w:p>
          <w:p w14:paraId="46255D6C">
            <w:pPr>
              <w:widowControl/>
              <w:spacing w:line="360" w:lineRule="atLeast"/>
              <w:ind w:firstLine="413" w:firstLineChars="196"/>
              <w:jc w:val="right"/>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表3-</w:t>
            </w:r>
            <w:r>
              <w:rPr>
                <w:rFonts w:hint="eastAsia" w:ascii="Times New Roman" w:hAnsi="Times New Roman" w:eastAsia="宋体"/>
                <w:b/>
                <w:color w:val="000000" w:themeColor="text1"/>
                <w:szCs w:val="21"/>
                <w:highlight w:val="none"/>
                <w14:textFill>
                  <w14:solidFill>
                    <w14:schemeClr w14:val="tx1"/>
                  </w14:solidFill>
                </w14:textFill>
              </w:rPr>
              <w:t>2</w:t>
            </w:r>
            <w:r>
              <w:rPr>
                <w:rFonts w:ascii="Times New Roman" w:hAnsi="Times New Roman" w:eastAsia="宋体"/>
                <w:b/>
                <w:color w:val="000000" w:themeColor="text1"/>
                <w:szCs w:val="21"/>
                <w:highlight w:val="none"/>
                <w14:textFill>
                  <w14:solidFill>
                    <w14:schemeClr w14:val="tx1"/>
                  </w14:solidFill>
                </w14:textFill>
              </w:rPr>
              <w:t xml:space="preserve"> </w:t>
            </w:r>
            <w:r>
              <w:rPr>
                <w:rFonts w:hint="eastAsia" w:ascii="Times New Roman" w:hAnsi="Times New Roman" w:eastAsia="宋体"/>
                <w:b/>
                <w:color w:val="000000" w:themeColor="text1"/>
                <w:szCs w:val="21"/>
                <w:highlight w:val="none"/>
                <w14:textFill>
                  <w14:solidFill>
                    <w14:schemeClr w14:val="tx1"/>
                  </w14:solidFill>
                </w14:textFill>
              </w:rPr>
              <w:t xml:space="preserve">    </w:t>
            </w:r>
            <w:r>
              <w:rPr>
                <w:rFonts w:hint="eastAsia" w:ascii="Times New Roman" w:hAnsi="Times New Roman" w:eastAsia="宋体"/>
                <w:b/>
                <w:color w:val="000000" w:themeColor="text1"/>
                <w:szCs w:val="21"/>
                <w:highlight w:val="none"/>
                <w:lang w:val="en-US" w:eastAsia="zh-CN"/>
                <w14:textFill>
                  <w14:solidFill>
                    <w14:schemeClr w14:val="tx1"/>
                  </w14:solidFill>
                </w14:textFill>
              </w:rPr>
              <w:t xml:space="preserve"> </w:t>
            </w:r>
            <w:r>
              <w:rPr>
                <w:rFonts w:ascii="Times New Roman" w:hAnsi="Times New Roman" w:eastAsia="宋体"/>
                <w:b/>
                <w:color w:val="000000" w:themeColor="text1"/>
                <w:szCs w:val="21"/>
                <w:highlight w:val="none"/>
                <w14:textFill>
                  <w14:solidFill>
                    <w14:schemeClr w14:val="tx1"/>
                  </w14:solidFill>
                </w14:textFill>
              </w:rPr>
              <w:t xml:space="preserve">环境空气监测结果表  </w:t>
            </w:r>
            <w:r>
              <w:rPr>
                <w:rFonts w:hint="eastAsia" w:ascii="Times New Roman" w:hAnsi="Times New Roman" w:eastAsia="宋体"/>
                <w:b/>
                <w:color w:val="000000" w:themeColor="text1"/>
                <w:szCs w:val="21"/>
                <w:highlight w:val="none"/>
                <w14:textFill>
                  <w14:solidFill>
                    <w14:schemeClr w14:val="tx1"/>
                  </w14:solidFill>
                </w14:textFill>
              </w:rPr>
              <w:t xml:space="preserve">             </w:t>
            </w:r>
            <w:r>
              <w:rPr>
                <w:rFonts w:ascii="Times New Roman" w:hAnsi="Times New Roman" w:eastAsia="宋体"/>
                <w:b/>
                <w:color w:val="000000" w:themeColor="text1"/>
                <w:szCs w:val="21"/>
                <w:highlight w:val="none"/>
                <w14:textFill>
                  <w14:solidFill>
                    <w14:schemeClr w14:val="tx1"/>
                  </w14:solidFill>
                </w14:textFill>
              </w:rPr>
              <w:t>单位：mg/m</w:t>
            </w:r>
            <w:r>
              <w:rPr>
                <w:rFonts w:ascii="Times New Roman" w:hAnsi="Times New Roman" w:eastAsia="宋体"/>
                <w:b/>
                <w:color w:val="000000" w:themeColor="text1"/>
                <w:szCs w:val="21"/>
                <w:highlight w:val="none"/>
                <w:vertAlign w:val="superscript"/>
                <w14:textFill>
                  <w14:solidFill>
                    <w14:schemeClr w14:val="tx1"/>
                  </w14:solidFill>
                </w14:textFill>
              </w:rPr>
              <w:t>3</w:t>
            </w:r>
          </w:p>
          <w:tbl>
            <w:tblPr>
              <w:tblStyle w:val="20"/>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79"/>
              <w:gridCol w:w="3840"/>
              <w:gridCol w:w="2818"/>
            </w:tblGrid>
            <w:tr w14:paraId="319848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restart"/>
                  <w:noWrap w:val="0"/>
                  <w:vAlign w:val="center"/>
                </w:tcPr>
                <w:p w14:paraId="3D13D8CE">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监测点位</w:t>
                  </w:r>
                </w:p>
              </w:tc>
              <w:tc>
                <w:tcPr>
                  <w:tcW w:w="2388" w:type="pct"/>
                  <w:vMerge w:val="restart"/>
                  <w:noWrap w:val="0"/>
                  <w:vAlign w:val="center"/>
                </w:tcPr>
                <w:p w14:paraId="763B979D">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采样日期</w:t>
                  </w:r>
                </w:p>
              </w:tc>
              <w:tc>
                <w:tcPr>
                  <w:tcW w:w="1752" w:type="pct"/>
                  <w:noWrap w:val="0"/>
                  <w:vAlign w:val="center"/>
                </w:tcPr>
                <w:p w14:paraId="4BE98696">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检测结果</w:t>
                  </w:r>
                </w:p>
              </w:tc>
            </w:tr>
            <w:tr w14:paraId="21113C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0EE4EF2F">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vMerge w:val="continue"/>
                  <w:noWrap w:val="0"/>
                  <w:vAlign w:val="center"/>
                </w:tcPr>
                <w:p w14:paraId="2B3D4702">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752" w:type="pct"/>
                  <w:noWrap w:val="0"/>
                  <w:vAlign w:val="center"/>
                </w:tcPr>
                <w:p w14:paraId="3A3861E6">
                  <w:pPr>
                    <w:pStyle w:val="58"/>
                    <w:spacing w:line="240" w:lineRule="auto"/>
                    <w:ind w:left="0" w:right="0" w:firstLine="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总悬浮颗粒物（日均值）</w:t>
                  </w:r>
                </w:p>
              </w:tc>
            </w:tr>
            <w:tr w14:paraId="611E9B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restart"/>
                  <w:noWrap w:val="0"/>
                  <w:vAlign w:val="center"/>
                </w:tcPr>
                <w:p w14:paraId="7E339D55">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2388" w:type="pct"/>
                  <w:noWrap w:val="0"/>
                  <w:vAlign w:val="center"/>
                </w:tcPr>
                <w:p w14:paraId="110B239C">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10月20日</w:t>
                  </w:r>
                </w:p>
              </w:tc>
              <w:tc>
                <w:tcPr>
                  <w:tcW w:w="1752" w:type="pct"/>
                  <w:noWrap w:val="0"/>
                  <w:vAlign w:val="center"/>
                </w:tcPr>
                <w:p w14:paraId="25965DC3">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0.084</w:t>
                  </w:r>
                </w:p>
              </w:tc>
            </w:tr>
            <w:tr w14:paraId="5472E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13769B61">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noWrap w:val="0"/>
                  <w:vAlign w:val="center"/>
                </w:tcPr>
                <w:p w14:paraId="35F71347">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10月21日</w:t>
                  </w:r>
                </w:p>
              </w:tc>
              <w:tc>
                <w:tcPr>
                  <w:tcW w:w="1752" w:type="pct"/>
                  <w:noWrap w:val="0"/>
                  <w:vAlign w:val="center"/>
                </w:tcPr>
                <w:p w14:paraId="78054F5A">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0.090</w:t>
                  </w:r>
                </w:p>
              </w:tc>
            </w:tr>
            <w:tr w14:paraId="20E996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30973721">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noWrap w:val="0"/>
                  <w:vAlign w:val="center"/>
                </w:tcPr>
                <w:p w14:paraId="56A82577">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10月22日</w:t>
                  </w:r>
                </w:p>
              </w:tc>
              <w:tc>
                <w:tcPr>
                  <w:tcW w:w="1752" w:type="pct"/>
                  <w:noWrap w:val="0"/>
                  <w:vAlign w:val="center"/>
                </w:tcPr>
                <w:p w14:paraId="10234E28">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0.074</w:t>
                  </w:r>
                </w:p>
              </w:tc>
            </w:tr>
            <w:tr w14:paraId="03777C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6A9859E1">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noWrap w:val="0"/>
                  <w:vAlign w:val="center"/>
                </w:tcPr>
                <w:p w14:paraId="7C125C64">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10月23日</w:t>
                  </w:r>
                </w:p>
              </w:tc>
              <w:tc>
                <w:tcPr>
                  <w:tcW w:w="1752" w:type="pct"/>
                  <w:noWrap w:val="0"/>
                  <w:vAlign w:val="center"/>
                </w:tcPr>
                <w:p w14:paraId="34D33E54">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0.092</w:t>
                  </w:r>
                </w:p>
              </w:tc>
            </w:tr>
            <w:tr w14:paraId="7909FE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11F9C879">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noWrap w:val="0"/>
                  <w:vAlign w:val="center"/>
                </w:tcPr>
                <w:p w14:paraId="2B21327B">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10月24日</w:t>
                  </w:r>
                </w:p>
              </w:tc>
              <w:tc>
                <w:tcPr>
                  <w:tcW w:w="1752" w:type="pct"/>
                  <w:noWrap w:val="0"/>
                  <w:vAlign w:val="center"/>
                </w:tcPr>
                <w:p w14:paraId="07E1699F">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0.083</w:t>
                  </w:r>
                </w:p>
              </w:tc>
            </w:tr>
            <w:tr w14:paraId="374662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1B085A97">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noWrap w:val="0"/>
                  <w:vAlign w:val="center"/>
                </w:tcPr>
                <w:p w14:paraId="7ADD28B9">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10月25日</w:t>
                  </w:r>
                </w:p>
              </w:tc>
              <w:tc>
                <w:tcPr>
                  <w:tcW w:w="1752" w:type="pct"/>
                  <w:noWrap w:val="0"/>
                  <w:vAlign w:val="center"/>
                </w:tcPr>
                <w:p w14:paraId="53CD7347">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0.072</w:t>
                  </w:r>
                </w:p>
              </w:tc>
            </w:tr>
            <w:tr w14:paraId="434395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8" w:type="pct"/>
                  <w:vMerge w:val="continue"/>
                  <w:noWrap w:val="0"/>
                  <w:vAlign w:val="center"/>
                </w:tcPr>
                <w:p w14:paraId="120A9563">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388" w:type="pct"/>
                  <w:noWrap w:val="0"/>
                  <w:vAlign w:val="center"/>
                </w:tcPr>
                <w:p w14:paraId="311BFB94">
                  <w:pPr>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10月26日</w:t>
                  </w:r>
                </w:p>
              </w:tc>
              <w:tc>
                <w:tcPr>
                  <w:tcW w:w="1752" w:type="pct"/>
                  <w:noWrap w:val="0"/>
                  <w:vAlign w:val="center"/>
                </w:tcPr>
                <w:p w14:paraId="1504534C">
                  <w:pPr>
                    <w:pStyle w:val="58"/>
                    <w:spacing w:line="240" w:lineRule="auto"/>
                    <w:ind w:left="0" w:right="0" w:firstLine="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0.087</w:t>
                  </w:r>
                </w:p>
              </w:tc>
            </w:tr>
          </w:tbl>
          <w:p w14:paraId="0707B8E8">
            <w:pPr>
              <w:spacing w:line="360" w:lineRule="auto"/>
              <w:ind w:firstLine="480" w:firstLineChars="200"/>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现状评价：</w:t>
            </w:r>
            <w:r>
              <w:rPr>
                <w:rFonts w:hint="default" w:ascii="Times New Roman" w:hAnsi="Times New Roman" w:eastAsia="宋体" w:cs="Times New Roman"/>
                <w:color w:val="000000" w:themeColor="text1"/>
                <w:sz w:val="24"/>
                <w:szCs w:val="24"/>
                <w:highlight w:val="none"/>
                <w14:textFill>
                  <w14:solidFill>
                    <w14:schemeClr w14:val="tx1"/>
                  </w14:solidFill>
                </w14:textFill>
              </w:rPr>
              <w:t>现状评价结果见表3-</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43D16A1">
            <w:pPr>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表3-</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3  </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质量现状评价结果</w:t>
            </w:r>
          </w:p>
          <w:tbl>
            <w:tblPr>
              <w:tblStyle w:val="20"/>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93"/>
              <w:gridCol w:w="1313"/>
              <w:gridCol w:w="1128"/>
              <w:gridCol w:w="1423"/>
              <w:gridCol w:w="971"/>
              <w:gridCol w:w="859"/>
              <w:gridCol w:w="749"/>
            </w:tblGrid>
            <w:tr w14:paraId="5A22CF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991" w:type="pct"/>
                  <w:noWrap w:val="0"/>
                  <w:vAlign w:val="center"/>
                </w:tcPr>
                <w:p w14:paraId="581B5FBD">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污染物名称</w:t>
                  </w:r>
                </w:p>
              </w:tc>
              <w:tc>
                <w:tcPr>
                  <w:tcW w:w="816" w:type="pct"/>
                  <w:noWrap w:val="0"/>
                  <w:vAlign w:val="center"/>
                </w:tcPr>
                <w:p w14:paraId="41DACA39">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现状浓度值（mg/m</w:t>
                  </w:r>
                  <w:r>
                    <w:rPr>
                      <w:rFonts w:hint="default" w:ascii="Times New Roman" w:hAnsi="Times New Roman" w:eastAsia="宋体" w:cs="Times New Roman"/>
                      <w:b/>
                      <w:bCs/>
                      <w:color w:val="000000" w:themeColor="text1"/>
                      <w:kern w:val="0"/>
                      <w:sz w:val="21"/>
                      <w:szCs w:val="21"/>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w:t>
                  </w:r>
                </w:p>
              </w:tc>
              <w:tc>
                <w:tcPr>
                  <w:tcW w:w="701" w:type="pct"/>
                  <w:noWrap w:val="0"/>
                  <w:vAlign w:val="center"/>
                </w:tcPr>
                <w:p w14:paraId="2187AEDE">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标准值（mg/m</w:t>
                  </w:r>
                  <w:r>
                    <w:rPr>
                      <w:rFonts w:hint="default" w:ascii="Times New Roman" w:hAnsi="Times New Roman" w:eastAsia="宋体" w:cs="Times New Roman"/>
                      <w:b/>
                      <w:bCs/>
                      <w:color w:val="000000" w:themeColor="text1"/>
                      <w:kern w:val="0"/>
                      <w:sz w:val="21"/>
                      <w:szCs w:val="21"/>
                      <w:highlight w:val="none"/>
                      <w:vertAlign w:val="superscript"/>
                      <w:lang w:val="en-US" w:eastAsia="zh-CN" w:bidi="ar-SA"/>
                      <w14:textFill>
                        <w14:solidFill>
                          <w14:schemeClr w14:val="tx1"/>
                        </w14:solidFill>
                      </w14:textFill>
                    </w:rPr>
                    <w:t>3</w:t>
                  </w: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w:t>
                  </w:r>
                </w:p>
              </w:tc>
              <w:tc>
                <w:tcPr>
                  <w:tcW w:w="885" w:type="pct"/>
                  <w:noWrap w:val="0"/>
                  <w:vAlign w:val="center"/>
                </w:tcPr>
                <w:p w14:paraId="765082FF">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最大占标率（%）</w:t>
                  </w:r>
                </w:p>
              </w:tc>
              <w:tc>
                <w:tcPr>
                  <w:tcW w:w="604" w:type="pct"/>
                  <w:noWrap w:val="0"/>
                  <w:vAlign w:val="center"/>
                </w:tcPr>
                <w:p w14:paraId="04CA7B23">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超标率</w:t>
                  </w:r>
                </w:p>
              </w:tc>
              <w:tc>
                <w:tcPr>
                  <w:tcW w:w="534" w:type="pct"/>
                  <w:noWrap w:val="0"/>
                  <w:vAlign w:val="center"/>
                </w:tcPr>
                <w:p w14:paraId="65DA1E47">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最大超标倍数</w:t>
                  </w:r>
                </w:p>
              </w:tc>
              <w:tc>
                <w:tcPr>
                  <w:tcW w:w="466" w:type="pct"/>
                  <w:noWrap w:val="0"/>
                  <w:vAlign w:val="center"/>
                </w:tcPr>
                <w:p w14:paraId="7B6757B0">
                  <w:pPr>
                    <w:widowControl w:val="0"/>
                    <w:adjustRightInd w:val="0"/>
                    <w:spacing w:line="240" w:lineRule="auto"/>
                    <w:ind w:left="0" w:right="0" w:firstLine="0"/>
                    <w:jc w:val="center"/>
                    <w:textAlignment w:val="baseline"/>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t>是否达标</w:t>
                  </w:r>
                </w:p>
              </w:tc>
            </w:tr>
            <w:tr w14:paraId="528230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991" w:type="pct"/>
                  <w:noWrap w:val="0"/>
                  <w:vAlign w:val="center"/>
                </w:tcPr>
                <w:p w14:paraId="241FA6AA">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总悬浮颗粒物</w:t>
                  </w:r>
                </w:p>
              </w:tc>
              <w:tc>
                <w:tcPr>
                  <w:tcW w:w="816" w:type="pct"/>
                  <w:noWrap w:val="0"/>
                  <w:vAlign w:val="center"/>
                </w:tcPr>
                <w:p w14:paraId="70B90548">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0.072~0.092</w:t>
                  </w:r>
                </w:p>
              </w:tc>
              <w:tc>
                <w:tcPr>
                  <w:tcW w:w="701" w:type="pct"/>
                  <w:noWrap w:val="0"/>
                  <w:vAlign w:val="center"/>
                </w:tcPr>
                <w:p w14:paraId="281FDCD6">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0.3</w:t>
                  </w:r>
                </w:p>
              </w:tc>
              <w:tc>
                <w:tcPr>
                  <w:tcW w:w="885" w:type="pct"/>
                  <w:noWrap w:val="0"/>
                  <w:vAlign w:val="center"/>
                </w:tcPr>
                <w:p w14:paraId="068D14A8">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30.67</w:t>
                  </w:r>
                </w:p>
              </w:tc>
              <w:tc>
                <w:tcPr>
                  <w:tcW w:w="604" w:type="pct"/>
                  <w:noWrap w:val="0"/>
                  <w:vAlign w:val="center"/>
                </w:tcPr>
                <w:p w14:paraId="5C3B3C0F">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c>
                <w:tcPr>
                  <w:tcW w:w="534" w:type="pct"/>
                  <w:noWrap w:val="0"/>
                  <w:vAlign w:val="center"/>
                </w:tcPr>
                <w:p w14:paraId="019CB2A1">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c>
                <w:tcPr>
                  <w:tcW w:w="466" w:type="pct"/>
                  <w:noWrap w:val="0"/>
                  <w:vAlign w:val="center"/>
                </w:tcPr>
                <w:p w14:paraId="1B81CDCB">
                  <w:pPr>
                    <w:widowControl w:val="0"/>
                    <w:adjustRightInd w:val="0"/>
                    <w:spacing w:line="240" w:lineRule="auto"/>
                    <w:ind w:left="0" w:right="0" w:firstLine="0"/>
                    <w:jc w:val="center"/>
                    <w:textAlignment w:val="baseline"/>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达标</w:t>
                  </w:r>
                </w:p>
              </w:tc>
            </w:tr>
          </w:tbl>
          <w:p w14:paraId="2F6E5441">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评价结果表明，环境空气质量满足《环境空气质量标准》（GB3095-</w:t>
            </w:r>
            <w:r>
              <w:rPr>
                <w:rFonts w:hint="eastAsia" w:ascii="Times New Roman" w:hAnsi="Times New Roman" w:eastAsia="宋体"/>
                <w:color w:val="000000" w:themeColor="text1"/>
                <w:sz w:val="24"/>
                <w:szCs w:val="24"/>
                <w:highlight w:val="none"/>
                <w14:textFill>
                  <w14:solidFill>
                    <w14:schemeClr w14:val="tx1"/>
                  </w14:solidFill>
                </w14:textFill>
              </w:rPr>
              <w:t>2012</w:t>
            </w:r>
            <w:r>
              <w:rPr>
                <w:rFonts w:ascii="Times New Roman" w:hAnsi="Times New Roman" w:eastAsia="宋体"/>
                <w:color w:val="000000" w:themeColor="text1"/>
                <w:sz w:val="24"/>
                <w:szCs w:val="24"/>
                <w:highlight w:val="none"/>
                <w14:textFill>
                  <w14:solidFill>
                    <w14:schemeClr w14:val="tx1"/>
                  </w14:solidFill>
                </w14:textFill>
              </w:rPr>
              <w:t>）二级标准的要求，说明该区域环境空气质量现状良好。</w:t>
            </w:r>
          </w:p>
          <w:p w14:paraId="0B5C77CE">
            <w:pPr>
              <w:spacing w:line="500" w:lineRule="exact"/>
              <w:rPr>
                <w:rFonts w:ascii="Times New Roman" w:hAnsi="Times New Roman" w:eastAsia="宋体"/>
                <w:b/>
                <w:color w:val="000000" w:themeColor="text1"/>
                <w:sz w:val="24"/>
                <w:szCs w:val="21"/>
                <w:highlight w:val="none"/>
                <w14:textFill>
                  <w14:solidFill>
                    <w14:schemeClr w14:val="tx1"/>
                  </w14:solidFill>
                </w14:textFill>
              </w:rPr>
            </w:pPr>
            <w:r>
              <w:rPr>
                <w:rFonts w:hint="eastAsia" w:ascii="Times New Roman" w:hAnsi="Times New Roman" w:eastAsia="宋体"/>
                <w:b/>
                <w:color w:val="000000" w:themeColor="text1"/>
                <w:sz w:val="24"/>
                <w:szCs w:val="21"/>
                <w:highlight w:val="none"/>
                <w14:textFill>
                  <w14:solidFill>
                    <w14:schemeClr w14:val="tx1"/>
                  </w14:solidFill>
                </w14:textFill>
              </w:rPr>
              <w:t>二、地表水环境现状</w:t>
            </w:r>
          </w:p>
          <w:p w14:paraId="2CEA5ED9">
            <w:pPr>
              <w:widowControl/>
              <w:spacing w:line="360" w:lineRule="auto"/>
              <w:ind w:firstLine="480" w:firstLineChars="200"/>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本项目营运期</w:t>
            </w: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生活污水</w:t>
            </w: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经</w:t>
            </w:r>
            <w:r>
              <w:rPr>
                <w:rFonts w:hint="eastAsia" w:ascii="Times New Roman" w:hAnsi="Times New Roman" w:eastAsia="宋体" w:cs="Times New Roman"/>
                <w:color w:val="000000" w:themeColor="text1"/>
                <w:kern w:val="0"/>
                <w:sz w:val="24"/>
                <w:szCs w:val="24"/>
                <w:highlight w:val="none"/>
                <w:lang w:eastAsia="zh-CN" w:bidi="ar"/>
                <w14:textFill>
                  <w14:solidFill>
                    <w14:schemeClr w14:val="tx1"/>
                  </w14:solidFill>
                </w14:textFill>
              </w:rPr>
              <w:t>化粪池</w:t>
            </w: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处理后，</w:t>
            </w: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排入市政管网，经蓬溪县宝梵污水处理厂后，排入小潼河</w:t>
            </w:r>
            <w:r>
              <w:rPr>
                <w:rFonts w:hint="eastAsia" w:ascii="Times New Roman" w:hAnsi="Times New Roman" w:eastAsia="宋体" w:cs="Times New Roman"/>
                <w:color w:val="000000" w:themeColor="text1"/>
                <w:kern w:val="0"/>
                <w:sz w:val="24"/>
                <w:szCs w:val="24"/>
                <w:highlight w:val="none"/>
                <w:lang w:eastAsia="zh-CN" w:bidi="ar"/>
                <w14:textFill>
                  <w14:solidFill>
                    <w14:schemeClr w14:val="tx1"/>
                  </w14:solidFill>
                </w14:textFill>
              </w:rPr>
              <w:t>，汇入芝溪河、涪江</w:t>
            </w: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。生产废水循环使用，不外排</w:t>
            </w:r>
            <w:r>
              <w:rPr>
                <w:rFonts w:hint="default" w:ascii="Times New Roman" w:hAnsi="Times New Roman" w:eastAsia="宋体" w:cs="Times New Roman"/>
                <w:color w:val="000000" w:themeColor="text1"/>
                <w:kern w:val="0"/>
                <w:sz w:val="24"/>
                <w:szCs w:val="24"/>
                <w:highlight w:val="none"/>
                <w:lang w:bidi="ar"/>
                <w14:textFill>
                  <w14:solidFill>
                    <w14:schemeClr w14:val="tx1"/>
                  </w14:solidFill>
                </w14:textFill>
              </w:rPr>
              <w:t>。</w:t>
            </w:r>
          </w:p>
          <w:p w14:paraId="5B1C6C16">
            <w:pPr>
              <w:widowControl/>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eastAsia="zh-CN" w:bidi="ar"/>
                <w14:textFill>
                  <w14:solidFill>
                    <w14:schemeClr w14:val="tx1"/>
                  </w14:solidFill>
                </w14:textFill>
              </w:rPr>
              <w:t>项目地表水环境根据《2021年遂宁市环境质量公告</w:t>
            </w:r>
            <w:r>
              <w:rPr>
                <w:rFonts w:hint="default" w:ascii="Times New Roman" w:hAnsi="Times New Roman" w:eastAsia="宋体" w:cs="Times New Roman"/>
                <w:color w:val="000000" w:themeColor="text1"/>
                <w:sz w:val="24"/>
                <w:szCs w:val="24"/>
                <w:highlight w:val="none"/>
                <w14:textFill>
                  <w14:solidFill>
                    <w14:schemeClr w14:val="tx1"/>
                  </w14:solidFill>
                </w14:textFill>
              </w:rPr>
              <w:t>》进行评价，202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年遂宁辖区内9个国</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省控地表水监测断面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（含</w:t>
            </w:r>
            <w:r>
              <w:rPr>
                <w:rFonts w:hint="default" w:ascii="Times New Roman" w:hAnsi="Times New Roman" w:eastAsia="宋体" w:cs="Times New Roman"/>
                <w:color w:val="000000" w:themeColor="text1"/>
                <w:sz w:val="24"/>
                <w:szCs w:val="24"/>
                <w:highlight w:val="none"/>
                <w14:textFill>
                  <w14:solidFill>
                    <w14:schemeClr w14:val="tx1"/>
                  </w14:solidFill>
                </w14:textFill>
              </w:rPr>
              <w:t>2个长江经济带监测断面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和</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1个趋势科研断面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水环境质量状况、主要污染因子</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指标</w:t>
            </w:r>
            <w:r>
              <w:rPr>
                <w:rFonts w:hint="default" w:ascii="Times New Roman" w:hAnsi="Times New Roman" w:eastAsia="宋体" w:cs="Times New Roman"/>
                <w:color w:val="000000" w:themeColor="text1"/>
                <w:sz w:val="24"/>
                <w:szCs w:val="24"/>
                <w:highlight w:val="none"/>
                <w14:textFill>
                  <w14:solidFill>
                    <w14:schemeClr w14:val="tx1"/>
                  </w14:solidFill>
                </w14:textFill>
              </w:rPr>
              <w:t>、环比和同比情况见下表。</w:t>
            </w:r>
          </w:p>
          <w:p w14:paraId="319DE3F3">
            <w:pPr>
              <w:adjustRightInd w:val="0"/>
              <w:snapToGrid w:val="0"/>
              <w:spacing w:before="120" w:beforeLines="50"/>
              <w:jc w:val="center"/>
              <w:rPr>
                <w:rFonts w:hint="default"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t>表3-</w:t>
            </w:r>
            <w:r>
              <w:rPr>
                <w:rFonts w:hint="eastAsia"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t xml:space="preserve">4  </w:t>
            </w:r>
            <w:r>
              <w:rPr>
                <w:rFonts w:hint="default" w:ascii="Times New Roman" w:hAnsi="Times New Roman" w:eastAsia="宋体" w:cs="Times New Roman"/>
                <w:b/>
                <w:bCs/>
                <w:snapToGrid w:val="0"/>
                <w:color w:val="000000" w:themeColor="text1"/>
                <w:sz w:val="21"/>
                <w:szCs w:val="21"/>
                <w:highlight w:val="none"/>
                <w:lang w:val="en-US" w:eastAsia="zh-CN" w:bidi="ar-SA"/>
                <w14:textFill>
                  <w14:solidFill>
                    <w14:schemeClr w14:val="tx1"/>
                  </w14:solidFill>
                </w14:textFill>
              </w:rPr>
              <w:t xml:space="preserve">  2021年遂宁河流水质评价结果表</w:t>
            </w:r>
          </w:p>
          <w:tbl>
            <w:tblPr>
              <w:tblStyle w:val="20"/>
              <w:tblW w:w="4994"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33"/>
              <w:gridCol w:w="923"/>
              <w:gridCol w:w="877"/>
              <w:gridCol w:w="975"/>
              <w:gridCol w:w="600"/>
              <w:gridCol w:w="694"/>
              <w:gridCol w:w="712"/>
              <w:gridCol w:w="1200"/>
              <w:gridCol w:w="1118"/>
            </w:tblGrid>
            <w:tr w14:paraId="15FACB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07F6E4D6">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河流名称</w:t>
                  </w:r>
                </w:p>
              </w:tc>
              <w:tc>
                <w:tcPr>
                  <w:tcW w:w="574" w:type="pct"/>
                  <w:noWrap w:val="0"/>
                  <w:vAlign w:val="center"/>
                </w:tcPr>
                <w:p w14:paraId="46F03B54">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断面名称</w:t>
                  </w:r>
                </w:p>
              </w:tc>
              <w:tc>
                <w:tcPr>
                  <w:tcW w:w="545" w:type="pct"/>
                  <w:noWrap w:val="0"/>
                  <w:vAlign w:val="center"/>
                </w:tcPr>
                <w:p w14:paraId="1202DD2F">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所在地</w:t>
                  </w:r>
                </w:p>
              </w:tc>
              <w:tc>
                <w:tcPr>
                  <w:tcW w:w="606" w:type="pct"/>
                  <w:noWrap w:val="0"/>
                  <w:vAlign w:val="center"/>
                </w:tcPr>
                <w:p w14:paraId="2DD32E9B">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断面类别</w:t>
                  </w:r>
                </w:p>
              </w:tc>
              <w:tc>
                <w:tcPr>
                  <w:tcW w:w="373" w:type="pct"/>
                  <w:noWrap w:val="0"/>
                  <w:vAlign w:val="center"/>
                </w:tcPr>
                <w:p w14:paraId="3300FC0E">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规定</w:t>
                  </w:r>
                </w:p>
                <w:p w14:paraId="4AA971AC">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类别</w:t>
                  </w:r>
                </w:p>
              </w:tc>
              <w:tc>
                <w:tcPr>
                  <w:tcW w:w="432" w:type="pct"/>
                  <w:noWrap w:val="0"/>
                  <w:vAlign w:val="center"/>
                </w:tcPr>
                <w:p w14:paraId="0CD09E0A">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上年度类别</w:t>
                  </w:r>
                </w:p>
              </w:tc>
              <w:tc>
                <w:tcPr>
                  <w:tcW w:w="443" w:type="pct"/>
                  <w:noWrap w:val="0"/>
                  <w:vAlign w:val="center"/>
                </w:tcPr>
                <w:p w14:paraId="3697B0EA">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本年度类别</w:t>
                  </w:r>
                </w:p>
              </w:tc>
              <w:tc>
                <w:tcPr>
                  <w:tcW w:w="747" w:type="pct"/>
                  <w:noWrap w:val="0"/>
                  <w:vAlign w:val="center"/>
                </w:tcPr>
                <w:p w14:paraId="788A22A7">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主要污染指标/超标倍数</w:t>
                  </w:r>
                </w:p>
              </w:tc>
              <w:tc>
                <w:tcPr>
                  <w:tcW w:w="695" w:type="pct"/>
                  <w:noWrap w:val="0"/>
                  <w:vAlign w:val="center"/>
                </w:tcPr>
                <w:p w14:paraId="2E0D3C44">
                  <w:pPr>
                    <w:widowControl/>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单独评价指标/超标倍数</w:t>
                  </w:r>
                </w:p>
              </w:tc>
            </w:tr>
            <w:tr w14:paraId="2A66FA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6A57B7D5">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涪江</w:t>
                  </w:r>
                </w:p>
              </w:tc>
              <w:tc>
                <w:tcPr>
                  <w:tcW w:w="574" w:type="pct"/>
                  <w:noWrap w:val="0"/>
                  <w:vAlign w:val="center"/>
                </w:tcPr>
                <w:p w14:paraId="47CB922B">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红江渡口</w:t>
                  </w:r>
                </w:p>
              </w:tc>
              <w:tc>
                <w:tcPr>
                  <w:tcW w:w="545" w:type="pct"/>
                  <w:noWrap w:val="0"/>
                  <w:vAlign w:val="center"/>
                </w:tcPr>
                <w:p w14:paraId="05272FD5">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蓬溪县</w:t>
                  </w:r>
                </w:p>
              </w:tc>
              <w:tc>
                <w:tcPr>
                  <w:tcW w:w="606" w:type="pct"/>
                  <w:noWrap w:val="0"/>
                  <w:vAlign w:val="center"/>
                </w:tcPr>
                <w:p w14:paraId="00AF571F">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国控</w:t>
                  </w:r>
                </w:p>
              </w:tc>
              <w:tc>
                <w:tcPr>
                  <w:tcW w:w="373" w:type="pct"/>
                  <w:noWrap w:val="0"/>
                  <w:vAlign w:val="center"/>
                </w:tcPr>
                <w:p w14:paraId="3117233B">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III</w:t>
                  </w:r>
                </w:p>
              </w:tc>
              <w:tc>
                <w:tcPr>
                  <w:tcW w:w="432" w:type="pct"/>
                  <w:noWrap w:val="0"/>
                  <w:vAlign w:val="center"/>
                </w:tcPr>
                <w:p w14:paraId="7B105F89">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w:t>
                  </w:r>
                </w:p>
              </w:tc>
              <w:tc>
                <w:tcPr>
                  <w:tcW w:w="443" w:type="pct"/>
                  <w:noWrap w:val="0"/>
                  <w:vAlign w:val="center"/>
                </w:tcPr>
                <w:p w14:paraId="639B4E83">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w:t>
                  </w:r>
                </w:p>
              </w:tc>
              <w:tc>
                <w:tcPr>
                  <w:tcW w:w="747" w:type="pct"/>
                  <w:noWrap w:val="0"/>
                  <w:vAlign w:val="center"/>
                </w:tcPr>
                <w:p w14:paraId="0818137C">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w:t>
                  </w:r>
                </w:p>
              </w:tc>
              <w:tc>
                <w:tcPr>
                  <w:tcW w:w="695" w:type="pct"/>
                  <w:noWrap w:val="0"/>
                  <w:vAlign w:val="center"/>
                </w:tcPr>
                <w:p w14:paraId="2BBCB270">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w:t>
                  </w:r>
                </w:p>
              </w:tc>
            </w:tr>
            <w:tr w14:paraId="470B47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620C765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涪江</w:t>
                  </w:r>
                </w:p>
              </w:tc>
              <w:tc>
                <w:tcPr>
                  <w:tcW w:w="574" w:type="pct"/>
                  <w:noWrap w:val="0"/>
                  <w:vAlign w:val="center"/>
                </w:tcPr>
                <w:p w14:paraId="46DE078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玉溪</w:t>
                  </w:r>
                </w:p>
              </w:tc>
              <w:tc>
                <w:tcPr>
                  <w:tcW w:w="545" w:type="pct"/>
                  <w:noWrap w:val="0"/>
                  <w:vAlign w:val="center"/>
                </w:tcPr>
                <w:p w14:paraId="1B2E031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重庆潼南</w:t>
                  </w:r>
                </w:p>
              </w:tc>
              <w:tc>
                <w:tcPr>
                  <w:tcW w:w="606" w:type="pct"/>
                  <w:noWrap w:val="0"/>
                  <w:vAlign w:val="center"/>
                </w:tcPr>
                <w:p w14:paraId="4706814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70D0D9E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6F79F11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443" w:type="pct"/>
                  <w:noWrap w:val="0"/>
                  <w:vAlign w:val="center"/>
                </w:tcPr>
                <w:p w14:paraId="7AA412F7">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747" w:type="pct"/>
                  <w:noWrap w:val="0"/>
                  <w:vAlign w:val="center"/>
                </w:tcPr>
                <w:p w14:paraId="2C5B71D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72B0239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505E79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02269AA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琼江</w:t>
                  </w:r>
                </w:p>
              </w:tc>
              <w:tc>
                <w:tcPr>
                  <w:tcW w:w="574" w:type="pct"/>
                  <w:noWrap w:val="0"/>
                  <w:vAlign w:val="center"/>
                </w:tcPr>
                <w:p w14:paraId="4447045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跑马滩</w:t>
                  </w:r>
                </w:p>
              </w:tc>
              <w:tc>
                <w:tcPr>
                  <w:tcW w:w="545" w:type="pct"/>
                  <w:noWrap w:val="0"/>
                  <w:vAlign w:val="center"/>
                </w:tcPr>
                <w:p w14:paraId="22BC7CD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安居区</w:t>
                  </w:r>
                </w:p>
              </w:tc>
              <w:tc>
                <w:tcPr>
                  <w:tcW w:w="606" w:type="pct"/>
                  <w:noWrap w:val="0"/>
                  <w:vAlign w:val="center"/>
                </w:tcPr>
                <w:p w14:paraId="04A1620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7854615A">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40BFA6F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43" w:type="pct"/>
                  <w:noWrap w:val="0"/>
                  <w:vAlign w:val="center"/>
                </w:tcPr>
                <w:p w14:paraId="7B01805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747" w:type="pct"/>
                  <w:noWrap w:val="0"/>
                  <w:vAlign w:val="center"/>
                </w:tcPr>
                <w:p w14:paraId="2BBA05D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07C247A7">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7CD7E1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106FA2F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郪江</w:t>
                  </w:r>
                </w:p>
              </w:tc>
              <w:tc>
                <w:tcPr>
                  <w:tcW w:w="574" w:type="pct"/>
                  <w:noWrap w:val="0"/>
                  <w:vAlign w:val="center"/>
                </w:tcPr>
                <w:p w14:paraId="0D62965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郪江口</w:t>
                  </w:r>
                </w:p>
              </w:tc>
              <w:tc>
                <w:tcPr>
                  <w:tcW w:w="545" w:type="pct"/>
                  <w:noWrap w:val="0"/>
                  <w:vAlign w:val="center"/>
                </w:tcPr>
                <w:p w14:paraId="70E1440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大英县</w:t>
                  </w:r>
                </w:p>
              </w:tc>
              <w:tc>
                <w:tcPr>
                  <w:tcW w:w="606" w:type="pct"/>
                  <w:noWrap w:val="0"/>
                  <w:vAlign w:val="center"/>
                </w:tcPr>
                <w:p w14:paraId="712D32DE">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6E5661F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50BAEFD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43" w:type="pct"/>
                  <w:noWrap w:val="0"/>
                  <w:vAlign w:val="center"/>
                </w:tcPr>
                <w:p w14:paraId="50D21747">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747" w:type="pct"/>
                  <w:noWrap w:val="0"/>
                  <w:vAlign w:val="center"/>
                </w:tcPr>
                <w:p w14:paraId="0C07C18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15633FD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63E8A9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221030D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琼江</w:t>
                  </w:r>
                </w:p>
              </w:tc>
              <w:tc>
                <w:tcPr>
                  <w:tcW w:w="574" w:type="pct"/>
                  <w:noWrap w:val="0"/>
                  <w:vAlign w:val="center"/>
                </w:tcPr>
                <w:p w14:paraId="740428B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大安</w:t>
                  </w:r>
                </w:p>
              </w:tc>
              <w:tc>
                <w:tcPr>
                  <w:tcW w:w="545" w:type="pct"/>
                  <w:noWrap w:val="0"/>
                  <w:vAlign w:val="center"/>
                </w:tcPr>
                <w:p w14:paraId="6A33F19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安居区</w:t>
                  </w:r>
                </w:p>
              </w:tc>
              <w:tc>
                <w:tcPr>
                  <w:tcW w:w="606" w:type="pct"/>
                  <w:noWrap w:val="0"/>
                  <w:vAlign w:val="center"/>
                </w:tcPr>
                <w:p w14:paraId="3E0D3BE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45E7EF1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13205D3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43" w:type="pct"/>
                  <w:noWrap w:val="0"/>
                  <w:vAlign w:val="center"/>
                </w:tcPr>
                <w:p w14:paraId="102E3A20">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747" w:type="pct"/>
                  <w:noWrap w:val="0"/>
                  <w:vAlign w:val="center"/>
                </w:tcPr>
                <w:p w14:paraId="3C860F6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34B53BEA">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3D91AB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5378285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梓江</w:t>
                  </w:r>
                </w:p>
              </w:tc>
              <w:tc>
                <w:tcPr>
                  <w:tcW w:w="574" w:type="pct"/>
                  <w:noWrap w:val="0"/>
                  <w:vAlign w:val="center"/>
                </w:tcPr>
                <w:p w14:paraId="7D2BC8AA">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梓江大桥</w:t>
                  </w:r>
                </w:p>
              </w:tc>
              <w:tc>
                <w:tcPr>
                  <w:tcW w:w="545" w:type="pct"/>
                  <w:noWrap w:val="0"/>
                  <w:vAlign w:val="center"/>
                </w:tcPr>
                <w:p w14:paraId="44BADCCA">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射洪市</w:t>
                  </w:r>
                </w:p>
              </w:tc>
              <w:tc>
                <w:tcPr>
                  <w:tcW w:w="606" w:type="pct"/>
                  <w:noWrap w:val="0"/>
                  <w:vAlign w:val="center"/>
                </w:tcPr>
                <w:p w14:paraId="5EB3763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国控</w:t>
                  </w:r>
                </w:p>
              </w:tc>
              <w:tc>
                <w:tcPr>
                  <w:tcW w:w="373" w:type="pct"/>
                  <w:noWrap w:val="0"/>
                  <w:vAlign w:val="center"/>
                </w:tcPr>
                <w:p w14:paraId="5952EA2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474D67A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443" w:type="pct"/>
                  <w:noWrap w:val="0"/>
                  <w:vAlign w:val="center"/>
                </w:tcPr>
                <w:p w14:paraId="10260C4F">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747" w:type="pct"/>
                  <w:noWrap w:val="0"/>
                  <w:vAlign w:val="center"/>
                </w:tcPr>
                <w:p w14:paraId="212CAC7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6C4C88C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412C1E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478860C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西眉河</w:t>
                  </w:r>
                </w:p>
              </w:tc>
              <w:tc>
                <w:tcPr>
                  <w:tcW w:w="574" w:type="pct"/>
                  <w:noWrap w:val="0"/>
                  <w:vAlign w:val="center"/>
                </w:tcPr>
                <w:p w14:paraId="53A645CC">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白鹤桥</w:t>
                  </w:r>
                </w:p>
              </w:tc>
              <w:tc>
                <w:tcPr>
                  <w:tcW w:w="545" w:type="pct"/>
                  <w:noWrap w:val="0"/>
                  <w:vAlign w:val="center"/>
                </w:tcPr>
                <w:p w14:paraId="49A887DB">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安居区</w:t>
                  </w:r>
                </w:p>
              </w:tc>
              <w:tc>
                <w:tcPr>
                  <w:tcW w:w="606" w:type="pct"/>
                  <w:noWrap w:val="0"/>
                  <w:vAlign w:val="center"/>
                </w:tcPr>
                <w:p w14:paraId="64845A0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省控（</w:t>
                  </w:r>
                  <w:r>
                    <w:rPr>
                      <w:rFonts w:hint="default" w:ascii="Times New Roman" w:hAnsi="Times New Roman" w:eastAsia="宋体" w:cs="Times New Roman"/>
                      <w:color w:val="000000" w:themeColor="text1"/>
                      <w:kern w:val="0"/>
                      <w:szCs w:val="21"/>
                      <w:highlight w:val="none"/>
                      <w14:textFill>
                        <w14:solidFill>
                          <w14:schemeClr w14:val="tx1"/>
                        </w14:solidFill>
                      </w14:textFill>
                    </w:rPr>
                    <w:t>长江经济带</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w:t>
                  </w:r>
                </w:p>
              </w:tc>
              <w:tc>
                <w:tcPr>
                  <w:tcW w:w="373" w:type="pct"/>
                  <w:noWrap w:val="0"/>
                  <w:vAlign w:val="center"/>
                </w:tcPr>
                <w:p w14:paraId="4BB6DACE">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4958D30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Ⅳ</w:t>
                  </w:r>
                </w:p>
              </w:tc>
              <w:tc>
                <w:tcPr>
                  <w:tcW w:w="443" w:type="pct"/>
                  <w:noWrap w:val="0"/>
                  <w:vAlign w:val="center"/>
                </w:tcPr>
                <w:p w14:paraId="3A95A13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Ⅳ</w:t>
                  </w:r>
                </w:p>
              </w:tc>
              <w:tc>
                <w:tcPr>
                  <w:tcW w:w="747" w:type="pct"/>
                  <w:noWrap w:val="0"/>
                  <w:vAlign w:val="center"/>
                </w:tcPr>
                <w:p w14:paraId="04EF2FF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w:t>
                  </w:r>
                </w:p>
              </w:tc>
              <w:tc>
                <w:tcPr>
                  <w:tcW w:w="695" w:type="pct"/>
                  <w:noWrap w:val="0"/>
                  <w:vAlign w:val="center"/>
                </w:tcPr>
                <w:p w14:paraId="34D1A928">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w:t>
                  </w:r>
                </w:p>
              </w:tc>
            </w:tr>
            <w:tr w14:paraId="43AE6E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13B6D741">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eastAsia="zh-CN"/>
                      <w14:textFill>
                        <w14:solidFill>
                          <w14:schemeClr w14:val="tx1"/>
                        </w14:solidFill>
                      </w14:textFill>
                    </w:rPr>
                    <w:t>芝溪河</w:t>
                  </w:r>
                </w:p>
              </w:tc>
              <w:tc>
                <w:tcPr>
                  <w:tcW w:w="574" w:type="pct"/>
                  <w:noWrap w:val="0"/>
                  <w:vAlign w:val="center"/>
                </w:tcPr>
                <w:p w14:paraId="626774F4">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涪山坝</w:t>
                  </w:r>
                </w:p>
              </w:tc>
              <w:tc>
                <w:tcPr>
                  <w:tcW w:w="545" w:type="pct"/>
                  <w:noWrap w:val="0"/>
                  <w:vAlign w:val="center"/>
                </w:tcPr>
                <w:p w14:paraId="0983A097">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蓬溪县</w:t>
                  </w:r>
                </w:p>
              </w:tc>
              <w:tc>
                <w:tcPr>
                  <w:tcW w:w="606" w:type="pct"/>
                  <w:noWrap w:val="0"/>
                  <w:vAlign w:val="center"/>
                </w:tcPr>
                <w:p w14:paraId="4955157E">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eastAsia="zh-CN"/>
                      <w14:textFill>
                        <w14:solidFill>
                          <w14:schemeClr w14:val="tx1"/>
                        </w14:solidFill>
                      </w14:textFill>
                    </w:rPr>
                    <w:t>省控（</w:t>
                  </w:r>
                  <w:r>
                    <w:rPr>
                      <w:rFonts w:hint="default" w:ascii="Times New Roman" w:hAnsi="Times New Roman" w:eastAsia="宋体" w:cs="Times New Roman"/>
                      <w:b/>
                      <w:bCs/>
                      <w:color w:val="000000" w:themeColor="text1"/>
                      <w:kern w:val="0"/>
                      <w:szCs w:val="21"/>
                      <w:highlight w:val="none"/>
                      <w14:textFill>
                        <w14:solidFill>
                          <w14:schemeClr w14:val="tx1"/>
                        </w14:solidFill>
                      </w14:textFill>
                    </w:rPr>
                    <w:t>长江经济带</w:t>
                  </w:r>
                  <w:r>
                    <w:rPr>
                      <w:rFonts w:hint="default" w:ascii="Times New Roman" w:hAnsi="Times New Roman" w:eastAsia="宋体" w:cs="Times New Roman"/>
                      <w:b/>
                      <w:bCs/>
                      <w:color w:val="000000" w:themeColor="text1"/>
                      <w:kern w:val="0"/>
                      <w:szCs w:val="21"/>
                      <w:highlight w:val="none"/>
                      <w:lang w:eastAsia="zh-CN"/>
                      <w14:textFill>
                        <w14:solidFill>
                          <w14:schemeClr w14:val="tx1"/>
                        </w14:solidFill>
                      </w14:textFill>
                    </w:rPr>
                    <w:t>）</w:t>
                  </w:r>
                </w:p>
              </w:tc>
              <w:tc>
                <w:tcPr>
                  <w:tcW w:w="373" w:type="pct"/>
                  <w:noWrap w:val="0"/>
                  <w:vAlign w:val="center"/>
                </w:tcPr>
                <w:p w14:paraId="5B455C65">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III</w:t>
                  </w:r>
                </w:p>
              </w:tc>
              <w:tc>
                <w:tcPr>
                  <w:tcW w:w="432" w:type="pct"/>
                  <w:noWrap w:val="0"/>
                  <w:vAlign w:val="center"/>
                </w:tcPr>
                <w:p w14:paraId="225311C2">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Ⅴ</w:t>
                  </w:r>
                </w:p>
              </w:tc>
              <w:tc>
                <w:tcPr>
                  <w:tcW w:w="443" w:type="pct"/>
                  <w:noWrap w:val="0"/>
                  <w:vAlign w:val="center"/>
                </w:tcPr>
                <w:p w14:paraId="4445F8E9">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Ⅳ</w:t>
                  </w:r>
                </w:p>
              </w:tc>
              <w:tc>
                <w:tcPr>
                  <w:tcW w:w="747" w:type="pct"/>
                  <w:noWrap w:val="0"/>
                  <w:vAlign w:val="center"/>
                </w:tcPr>
                <w:p w14:paraId="5F3FAFF1">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val="en-US" w:eastAsia="zh-CN"/>
                      <w14:textFill>
                        <w14:solidFill>
                          <w14:schemeClr w14:val="tx1"/>
                        </w14:solidFill>
                      </w14:textFill>
                    </w:rPr>
                    <w:t>/</w:t>
                  </w:r>
                </w:p>
              </w:tc>
              <w:tc>
                <w:tcPr>
                  <w:tcW w:w="695" w:type="pct"/>
                  <w:noWrap w:val="0"/>
                  <w:vAlign w:val="center"/>
                </w:tcPr>
                <w:p w14:paraId="7C5D6A83">
                  <w:pPr>
                    <w:widowControl/>
                    <w:jc w:val="center"/>
                    <w:rPr>
                      <w:rFonts w:hint="default" w:ascii="Times New Roman" w:hAnsi="Times New Roman" w:eastAsia="宋体" w:cs="Times New Roman"/>
                      <w:b/>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lang w:val="en-US" w:eastAsia="zh-CN"/>
                      <w14:textFill>
                        <w14:solidFill>
                          <w14:schemeClr w14:val="tx1"/>
                        </w14:solidFill>
                      </w14:textFill>
                    </w:rPr>
                    <w:t>/</w:t>
                  </w:r>
                </w:p>
              </w:tc>
            </w:tr>
            <w:tr w14:paraId="0C3B0C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0" w:type="pct"/>
                  <w:noWrap w:val="0"/>
                  <w:vAlign w:val="center"/>
                </w:tcPr>
                <w:p w14:paraId="186AAA04">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涪江</w:t>
                  </w:r>
                </w:p>
              </w:tc>
              <w:tc>
                <w:tcPr>
                  <w:tcW w:w="574" w:type="pct"/>
                  <w:noWrap w:val="0"/>
                  <w:vAlign w:val="center"/>
                </w:tcPr>
                <w:p w14:paraId="0C56779D">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米家桥</w:t>
                  </w:r>
                </w:p>
              </w:tc>
              <w:tc>
                <w:tcPr>
                  <w:tcW w:w="545" w:type="pct"/>
                  <w:noWrap w:val="0"/>
                  <w:vAlign w:val="center"/>
                </w:tcPr>
                <w:p w14:paraId="08CF1BC1">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船山区</w:t>
                  </w:r>
                </w:p>
              </w:tc>
              <w:tc>
                <w:tcPr>
                  <w:tcW w:w="606" w:type="pct"/>
                  <w:noWrap w:val="0"/>
                  <w:vAlign w:val="center"/>
                </w:tcPr>
                <w:p w14:paraId="647011C3">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省控</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（趋势科研）</w:t>
                  </w:r>
                </w:p>
              </w:tc>
              <w:tc>
                <w:tcPr>
                  <w:tcW w:w="373" w:type="pct"/>
                  <w:noWrap w:val="0"/>
                  <w:vAlign w:val="center"/>
                </w:tcPr>
                <w:p w14:paraId="74B4E122">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III</w:t>
                  </w:r>
                </w:p>
              </w:tc>
              <w:tc>
                <w:tcPr>
                  <w:tcW w:w="432" w:type="pct"/>
                  <w:noWrap w:val="0"/>
                  <w:vAlign w:val="center"/>
                </w:tcPr>
                <w:p w14:paraId="5F06717A">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443" w:type="pct"/>
                  <w:noWrap w:val="0"/>
                  <w:vAlign w:val="center"/>
                </w:tcPr>
                <w:p w14:paraId="010FFBD9">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II</w:t>
                  </w:r>
                </w:p>
              </w:tc>
              <w:tc>
                <w:tcPr>
                  <w:tcW w:w="747" w:type="pct"/>
                  <w:noWrap w:val="0"/>
                  <w:vAlign w:val="center"/>
                </w:tcPr>
                <w:p w14:paraId="492A93F5">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c>
                <w:tcPr>
                  <w:tcW w:w="695" w:type="pct"/>
                  <w:noWrap w:val="0"/>
                  <w:vAlign w:val="center"/>
                </w:tcPr>
                <w:p w14:paraId="6D6F8BC6">
                  <w:pPr>
                    <w:widowControl/>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w:t>
                  </w:r>
                </w:p>
              </w:tc>
            </w:tr>
            <w:tr w14:paraId="37AD21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0" w:type="pct"/>
                  <w:gridSpan w:val="9"/>
                  <w:noWrap w:val="0"/>
                  <w:vAlign w:val="center"/>
                </w:tcPr>
                <w:p w14:paraId="1F7D9883">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注：1.地表水环境评价执行《地表水环境质量标准》（GB3838-2002）和《地表水环境质量评价办法（试行）》（环办〔2011〕22号）。</w:t>
                  </w:r>
                </w:p>
                <w:p w14:paraId="5F1B5541">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2.21项评价指标为：pH、溶解氧、高锰酸盐指数、五日生化需氧量、氨氮、石油类、酚、汞、铅、镉、阴离子表面活性剂、铬（六价）、氟化物、总磷、氰化物、硫化物、砷、化学需氧量、铜、锌、硒。</w:t>
                  </w:r>
                </w:p>
                <w:p w14:paraId="3E0E1C6C">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3.超过Ⅲ类水质标准的指标为断面污染指标，取超标倍数最大的前三项为主要污染指标。</w:t>
                  </w:r>
                </w:p>
                <w:p w14:paraId="237E6EEB">
                  <w:pPr>
                    <w:keepNext w:val="0"/>
                    <w:keepLines w:val="0"/>
                    <w:pageBreakBefore w:val="0"/>
                    <w:widowControl/>
                    <w:kinsoku/>
                    <w:wordWrap/>
                    <w:overflowPunct/>
                    <w:topLinePunct w:val="0"/>
                    <w:autoSpaceDE/>
                    <w:autoSpaceDN/>
                    <w:bidi w:val="0"/>
                    <w:adjustRightInd w:val="0"/>
                    <w:snapToGrid w:val="0"/>
                    <w:ind w:firstLine="420" w:firstLineChars="200"/>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4.红江渡口、玉溪、跑马滩、大安、郪江口和梓江大桥6个国控断面采用国家反馈的采测分离数据（含部分市级监测数据）进行评价。</w:t>
                  </w:r>
                </w:p>
              </w:tc>
            </w:tr>
          </w:tbl>
          <w:p w14:paraId="7328D657">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项目位于蓬溪县，根据《</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2021年遂宁市环境质量公告</w:t>
            </w:r>
            <w:r>
              <w:rPr>
                <w:rFonts w:hint="default" w:ascii="Times New Roman" w:hAnsi="Times New Roman" w:eastAsia="宋体" w:cs="Times New Roman"/>
                <w:bCs/>
                <w:color w:val="000000" w:themeColor="text1"/>
                <w:sz w:val="24"/>
                <w:szCs w:val="24"/>
                <w:highlight w:val="none"/>
                <w14:textFill>
                  <w14:solidFill>
                    <w14:schemeClr w14:val="tx1"/>
                  </w14:solidFill>
                </w14:textFill>
              </w:rPr>
              <w:t>》遂宁市河流水质评价结果表可以看出，蓬溪县涪江红江渡口监测断面水质为II类，</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芝溪河</w:t>
            </w:r>
            <w:r>
              <w:rPr>
                <w:rFonts w:hint="default" w:ascii="Times New Roman" w:hAnsi="Times New Roman" w:eastAsia="宋体" w:cs="Times New Roman"/>
                <w:bCs/>
                <w:color w:val="000000" w:themeColor="text1"/>
                <w:sz w:val="24"/>
                <w:szCs w:val="24"/>
                <w:highlight w:val="none"/>
                <w14:textFill>
                  <w14:solidFill>
                    <w14:schemeClr w14:val="tx1"/>
                  </w14:solidFill>
                </w14:textFill>
              </w:rPr>
              <w:t>涪山坝监测断面水质为</w:t>
            </w:r>
            <w:r>
              <w:rPr>
                <w:rFonts w:hint="default" w:ascii="Times New Roman" w:hAnsi="Times New Roman" w:eastAsia="宋体" w:cs="Times New Roman"/>
                <w:color w:val="000000" w:themeColor="text1"/>
                <w:kern w:val="0"/>
                <w:szCs w:val="21"/>
                <w:highlight w:val="none"/>
                <w14:textFill>
                  <w14:solidFill>
                    <w14:schemeClr w14:val="tx1"/>
                  </w14:solidFill>
                </w14:textFill>
              </w:rPr>
              <w:t>Ⅳ</w:t>
            </w:r>
            <w:r>
              <w:rPr>
                <w:rFonts w:hint="default" w:ascii="Times New Roman" w:hAnsi="Times New Roman" w:eastAsia="宋体" w:cs="Times New Roman"/>
                <w:bCs/>
                <w:color w:val="000000" w:themeColor="text1"/>
                <w:sz w:val="24"/>
                <w:szCs w:val="24"/>
                <w:highlight w:val="none"/>
                <w14:textFill>
                  <w14:solidFill>
                    <w14:schemeClr w14:val="tx1"/>
                  </w14:solidFill>
                </w14:textFill>
              </w:rPr>
              <w:t>类，2021年度区域地表水</w:t>
            </w:r>
            <w:r>
              <w:rPr>
                <w:rFonts w:hint="default" w:ascii="Times New Roman" w:hAnsi="Times New Roman" w:eastAsia="宋体" w:cs="Times New Roman"/>
                <w:b/>
                <w:bCs w:val="0"/>
                <w:color w:val="000000" w:themeColor="text1"/>
                <w:sz w:val="24"/>
                <w:szCs w:val="24"/>
                <w:highlight w:val="none"/>
                <w:u w:val="single"/>
                <w14:textFill>
                  <w14:solidFill>
                    <w14:schemeClr w14:val="tx1"/>
                  </w14:solidFill>
                </w14:textFill>
              </w:rPr>
              <w:t>不能满足</w:t>
            </w:r>
            <w:r>
              <w:rPr>
                <w:rFonts w:hint="default" w:ascii="Times New Roman" w:hAnsi="Times New Roman" w:eastAsia="宋体" w:cs="Times New Roman"/>
                <w:bCs/>
                <w:color w:val="000000" w:themeColor="text1"/>
                <w:sz w:val="24"/>
                <w:szCs w:val="24"/>
                <w:highlight w:val="none"/>
                <w14:textFill>
                  <w14:solidFill>
                    <w14:schemeClr w14:val="tx1"/>
                  </w14:solidFill>
                </w14:textFill>
              </w:rPr>
              <w:t>《地表水环境质量标准》(GB3838-2002)III类水域标准。故项目所在区域地表水环境质量较差。</w:t>
            </w:r>
          </w:p>
          <w:p w14:paraId="7B37598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s="Times New Roman"/>
                <w:b/>
                <w:bCs w:val="0"/>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
                <w:bCs w:val="0"/>
                <w:color w:val="000000" w:themeColor="text1"/>
                <w:sz w:val="24"/>
                <w:szCs w:val="24"/>
                <w:highlight w:val="none"/>
                <w:lang w:eastAsia="zh-CN"/>
                <w14:textFill>
                  <w14:solidFill>
                    <w14:schemeClr w14:val="tx1"/>
                  </w14:solidFill>
                </w14:textFill>
              </w:rPr>
              <w:t>达标规划：</w:t>
            </w:r>
          </w:p>
          <w:p w14:paraId="121EB26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根据遂宁市人民政府关于印发《涪江流域(遂宁段)水环境治理工作方案(试行)》的通知（遂府函〔2017〕155号），遂宁市将通过以下措施加强流域综合整治：</w:t>
            </w:r>
          </w:p>
          <w:p w14:paraId="7E19BA9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（1）加快实施郪江（大英段）、琼江（安居段）等重点流域水体达标方案和沈水河流域水污染综合治理实施方案。</w:t>
            </w:r>
          </w:p>
          <w:p w14:paraId="3E913B7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（2）加快编制龙洞河、芝溪河、沈水河等重点流域环境保护专项规划，加快推进涪江流域污染综合治理工程。</w:t>
            </w:r>
          </w:p>
          <w:p w14:paraId="33573BA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（3）加大黑臭水体治理，全面完成明月河、米家河、联盟河和开善河4条市城区小河流及各县（区）黑臭水体整治。</w:t>
            </w:r>
          </w:p>
          <w:p w14:paraId="3D212B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（4）持续推进城乡污水垃圾处理，强化畜禽养殖污染治理。</w:t>
            </w:r>
          </w:p>
          <w:p w14:paraId="348E3A2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（5）加强水产养殖污染治理，加强农业面源污染治理，加强饮用水源保护，狠抓工业企业污染防治，加强入河排污口整治。</w:t>
            </w:r>
          </w:p>
          <w:p w14:paraId="7D8DE7C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（6）2018年底前，完成规模以下主要入河排污口标志牌建设，基本实现规模以上入河排污口监测的全覆盖，逐步提高规模以下入河排污口监测比例。</w:t>
            </w:r>
          </w:p>
          <w:p w14:paraId="2D3A11E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（7）严格执行饮用水水源保护制度，提升环境监管能力，加大环境审批监管，全面排查涪江流域重点污染企业、重要入河排污口和畜禽养殖点，加强流域管理保护联合执法。</w:t>
            </w:r>
          </w:p>
          <w:p w14:paraId="47AA129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涪江流域(遂宁段)质量达标规划如下：</w:t>
            </w:r>
          </w:p>
          <w:p w14:paraId="2667ED1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bCs/>
                <w:color w:val="000000" w:themeColor="text1"/>
                <w:sz w:val="24"/>
                <w:szCs w:val="24"/>
                <w:highlight w:val="none"/>
                <w:lang w:eastAsia="zh-CN"/>
                <w14:textFill>
                  <w14:solidFill>
                    <w14:schemeClr w14:val="tx1"/>
                  </w14:solidFill>
                </w14:textFill>
              </w:rPr>
              <w:t>2030年：涪江流域水环境质量总体改善，水生态系统功能初步恢复；到本世纪中叶，涪江流域水生态环境质量全面改善，生态系统实现良性循环。</w:t>
            </w:r>
          </w:p>
          <w:p w14:paraId="34A32833">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b/>
                <w:color w:val="000000" w:themeColor="text1"/>
                <w:sz w:val="24"/>
                <w:szCs w:val="21"/>
                <w:highlight w:val="none"/>
                <w14:textFill>
                  <w14:solidFill>
                    <w14:schemeClr w14:val="tx1"/>
                  </w14:solidFill>
                </w14:textFill>
              </w:rPr>
            </w:pPr>
            <w:r>
              <w:rPr>
                <w:rFonts w:hint="eastAsia" w:ascii="Times New Roman" w:hAnsi="Times New Roman" w:eastAsia="宋体"/>
                <w:b/>
                <w:color w:val="000000" w:themeColor="text1"/>
                <w:sz w:val="24"/>
                <w:szCs w:val="21"/>
                <w:highlight w:val="none"/>
                <w14:textFill>
                  <w14:solidFill>
                    <w14:schemeClr w14:val="tx1"/>
                  </w14:solidFill>
                </w14:textFill>
              </w:rPr>
              <w:t>三</w:t>
            </w:r>
            <w:r>
              <w:rPr>
                <w:rFonts w:ascii="Times New Roman" w:hAnsi="Times New Roman" w:eastAsia="宋体"/>
                <w:b/>
                <w:color w:val="000000" w:themeColor="text1"/>
                <w:sz w:val="24"/>
                <w:szCs w:val="21"/>
                <w:highlight w:val="none"/>
                <w14:textFill>
                  <w14:solidFill>
                    <w14:schemeClr w14:val="tx1"/>
                  </w14:solidFill>
                </w14:textFill>
              </w:rPr>
              <w:t>、声环境质量现状</w:t>
            </w:r>
          </w:p>
          <w:p w14:paraId="7DA36D20">
            <w:pPr>
              <w:snapToGrid w:val="0"/>
              <w:spacing w:line="360" w:lineRule="auto"/>
              <w:ind w:firstLine="480" w:firstLineChars="200"/>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根据《建设项目环境影响报告表编制技术指南(污染影响类) (试行)》：3.声环境。厂界外周边50米范围内存在声环境保护目标的建设项目，应监测保护目标声环境质量现状并评价达标情况。各点位应监测昼夜间噪声，监测时间不少于1天。</w:t>
            </w:r>
          </w:p>
          <w:p w14:paraId="04D557D8">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建设区域</w:t>
            </w:r>
            <w:r>
              <w:rPr>
                <w:rFonts w:hint="default" w:ascii="Times New Roman" w:hAnsi="Times New Roman" w:eastAsia="宋体" w:cs="Times New Roman"/>
                <w:color w:val="000000" w:themeColor="text1"/>
                <w:sz w:val="24"/>
                <w:szCs w:val="24"/>
                <w:highlight w:val="none"/>
                <w14:textFill>
                  <w14:solidFill>
                    <w14:schemeClr w14:val="tx1"/>
                  </w14:solidFill>
                </w14:textFill>
              </w:rPr>
              <w:t>50m范围内</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无</w:t>
            </w:r>
            <w:r>
              <w:rPr>
                <w:rFonts w:hint="default" w:ascii="Times New Roman" w:hAnsi="Times New Roman" w:eastAsia="宋体" w:cs="Times New Roman"/>
                <w:color w:val="000000" w:themeColor="text1"/>
                <w:sz w:val="24"/>
                <w:szCs w:val="24"/>
                <w:highlight w:val="none"/>
                <w14:textFill>
                  <w14:solidFill>
                    <w14:schemeClr w14:val="tx1"/>
                  </w14:solidFill>
                </w14:textFill>
              </w:rPr>
              <w:t>声环境保护目标，</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因此，无需进行声环境质量现状监测。</w:t>
            </w:r>
          </w:p>
          <w:p w14:paraId="1E3790A3">
            <w:pPr>
              <w:keepNext w:val="0"/>
              <w:keepLines w:val="0"/>
              <w:pageBreakBefore w:val="0"/>
              <w:widowControl w:val="0"/>
              <w:kinsoku/>
              <w:wordWrap/>
              <w:overflowPunct/>
              <w:topLinePunct w:val="0"/>
              <w:autoSpaceDE/>
              <w:autoSpaceDN/>
              <w:bidi w:val="0"/>
              <w:adjustRightInd/>
              <w:snapToGrid w:val="0"/>
              <w:spacing w:line="360" w:lineRule="auto"/>
              <w:textAlignment w:val="auto"/>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四、生态环境现状</w:t>
            </w:r>
          </w:p>
          <w:p w14:paraId="1A95C7AC">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本</w:t>
            </w:r>
            <w:r>
              <w:rPr>
                <w:rFonts w:hint="eastAsia" w:ascii="Times New Roman" w:hAnsi="Times New Roman" w:eastAsia="宋体"/>
                <w:color w:val="000000" w:themeColor="text1"/>
                <w:kern w:val="0"/>
                <w:sz w:val="24"/>
                <w:szCs w:val="24"/>
                <w:highlight w:val="none"/>
                <w14:textFill>
                  <w14:solidFill>
                    <w14:schemeClr w14:val="tx1"/>
                  </w14:solidFill>
                </w14:textFill>
              </w:rPr>
              <w:t>项目</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位于</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四川蓬溪经济开发区（火车站工业聚居区）莲花社区一社</w:t>
            </w: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，建设区域内为工业用地。</w:t>
            </w:r>
            <w:r>
              <w:rPr>
                <w:rFonts w:hint="eastAsia" w:ascii="Times New Roman" w:hAnsi="Times New Roman" w:eastAsia="宋体"/>
                <w:color w:val="000000" w:themeColor="text1"/>
                <w:kern w:val="0"/>
                <w:sz w:val="24"/>
                <w:szCs w:val="24"/>
                <w:highlight w:val="none"/>
                <w14:textFill>
                  <w14:solidFill>
                    <w14:schemeClr w14:val="tx1"/>
                  </w14:solidFill>
                </w14:textFill>
              </w:rPr>
              <w:t>由于人类活动影响，周边主要以人工植被为主，项目区所在地未发现划定的自然生态保护区和重点保护的野生动植物的存在。</w:t>
            </w:r>
          </w:p>
        </w:tc>
      </w:tr>
      <w:tr w14:paraId="5F3A791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494514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环境保护目标</w:t>
            </w:r>
          </w:p>
        </w:tc>
        <w:tc>
          <w:tcPr>
            <w:tcW w:w="4500" w:type="pct"/>
          </w:tcPr>
          <w:p w14:paraId="29922375">
            <w:pPr>
              <w:adjustRightInd w:val="0"/>
              <w:snapToGrid w:val="0"/>
              <w:spacing w:before="120" w:beforeLines="50" w:line="360" w:lineRule="auto"/>
              <w:jc w:val="left"/>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一</w:t>
            </w:r>
            <w:r>
              <w:rPr>
                <w:rFonts w:ascii="Times New Roman" w:hAnsi="Times New Roman" w:eastAsia="宋体" w:cs="Times New Roman"/>
                <w:b/>
                <w:bCs/>
                <w:color w:val="000000" w:themeColor="text1"/>
                <w:sz w:val="24"/>
                <w:szCs w:val="24"/>
                <w:highlight w:val="none"/>
                <w14:textFill>
                  <w14:solidFill>
                    <w14:schemeClr w14:val="tx1"/>
                  </w14:solidFill>
                </w14:textFill>
              </w:rPr>
              <w:t>、大气环境保护目标</w:t>
            </w:r>
          </w:p>
          <w:p w14:paraId="310BC26E">
            <w:pPr>
              <w:adjustRightInd w:val="0"/>
              <w:snapToGrid w:val="0"/>
              <w:spacing w:line="360" w:lineRule="auto"/>
              <w:ind w:firstLine="480" w:firstLineChars="200"/>
              <w:rPr>
                <w:rFonts w:ascii="Times New Roman" w:hAnsi="Times New Roman" w:eastAsia="宋体" w:cs="Times New Roman"/>
                <w:bCs/>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本项目厂界外500m范围内涉及大气环境保护目标</w:t>
            </w:r>
            <w:r>
              <w:rPr>
                <w:rFonts w:ascii="Times New Roman" w:hAnsi="Times New Roman" w:eastAsia="宋体" w:cs="Times New Roman"/>
                <w:bCs/>
                <w:color w:val="000000" w:themeColor="text1"/>
                <w:sz w:val="24"/>
                <w:szCs w:val="24"/>
                <w:highlight w:val="none"/>
                <w14:textFill>
                  <w14:solidFill>
                    <w14:schemeClr w14:val="tx1"/>
                  </w14:solidFill>
                </w14:textFill>
              </w:rPr>
              <w:t>见下表。</w:t>
            </w:r>
          </w:p>
          <w:p w14:paraId="464C04D1">
            <w:pPr>
              <w:autoSpaceDE w:val="0"/>
              <w:autoSpaceDN w:val="0"/>
              <w:adjustRightInd w:val="0"/>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表3-</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5</w:t>
            </w:r>
            <w:r>
              <w:rPr>
                <w:rFonts w:ascii="Times New Roman" w:hAnsi="Times New Roman" w:eastAsia="宋体" w:cs="Times New Roman"/>
                <w:b/>
                <w:bCs/>
                <w:color w:val="000000" w:themeColor="text1"/>
                <w:szCs w:val="21"/>
                <w:highlight w:val="none"/>
                <w14:textFill>
                  <w14:solidFill>
                    <w14:schemeClr w14:val="tx1"/>
                  </w14:solidFill>
                </w14:textFill>
              </w:rPr>
              <w:t xml:space="preserve">      本项目大气环境主要保护目标</w:t>
            </w:r>
          </w:p>
          <w:tbl>
            <w:tblPr>
              <w:tblStyle w:val="20"/>
              <w:tblW w:w="803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61"/>
              <w:gridCol w:w="1484"/>
              <w:gridCol w:w="1333"/>
              <w:gridCol w:w="1267"/>
              <w:gridCol w:w="1083"/>
              <w:gridCol w:w="950"/>
              <w:gridCol w:w="1059"/>
            </w:tblGrid>
            <w:tr w14:paraId="6ED488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13" w:hRule="atLeast"/>
                <w:jc w:val="center"/>
              </w:trPr>
              <w:tc>
                <w:tcPr>
                  <w:tcW w:w="861" w:type="dxa"/>
                  <w:noWrap w:val="0"/>
                  <w:vAlign w:val="center"/>
                </w:tcPr>
                <w:p w14:paraId="7D763D8D">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环境类别</w:t>
                  </w:r>
                </w:p>
              </w:tc>
              <w:tc>
                <w:tcPr>
                  <w:tcW w:w="1484" w:type="dxa"/>
                  <w:noWrap w:val="0"/>
                  <w:vAlign w:val="center"/>
                </w:tcPr>
                <w:p w14:paraId="5F6F4B61">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环境保护目标</w:t>
                  </w:r>
                </w:p>
              </w:tc>
              <w:tc>
                <w:tcPr>
                  <w:tcW w:w="1333" w:type="dxa"/>
                  <w:noWrap w:val="0"/>
                  <w:vAlign w:val="center"/>
                </w:tcPr>
                <w:p w14:paraId="384001D1">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方位与距离</w:t>
                  </w:r>
                </w:p>
              </w:tc>
              <w:tc>
                <w:tcPr>
                  <w:tcW w:w="2350" w:type="dxa"/>
                  <w:gridSpan w:val="2"/>
                  <w:noWrap w:val="0"/>
                  <w:vAlign w:val="center"/>
                </w:tcPr>
                <w:p w14:paraId="376BBF6A">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坐标</w:t>
                  </w:r>
                </w:p>
              </w:tc>
              <w:tc>
                <w:tcPr>
                  <w:tcW w:w="950" w:type="dxa"/>
                  <w:noWrap w:val="0"/>
                  <w:vAlign w:val="center"/>
                </w:tcPr>
                <w:p w14:paraId="07B6A3F7">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规模</w:t>
                  </w:r>
                </w:p>
              </w:tc>
              <w:tc>
                <w:tcPr>
                  <w:tcW w:w="1059" w:type="dxa"/>
                  <w:noWrap w:val="0"/>
                  <w:vAlign w:val="center"/>
                </w:tcPr>
                <w:p w14:paraId="7EAA3B89">
                  <w:pPr>
                    <w:snapToGrid w:val="0"/>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环境功能</w:t>
                  </w:r>
                </w:p>
              </w:tc>
            </w:tr>
            <w:tr w14:paraId="010BBD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restart"/>
                  <w:noWrap w:val="0"/>
                  <w:vAlign w:val="center"/>
                </w:tcPr>
                <w:p w14:paraId="14F723B9">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环境空气</w:t>
                  </w:r>
                </w:p>
              </w:tc>
              <w:tc>
                <w:tcPr>
                  <w:tcW w:w="1484" w:type="dxa"/>
                  <w:noWrap w:val="0"/>
                  <w:vAlign w:val="center"/>
                </w:tcPr>
                <w:p w14:paraId="57260778">
                  <w:pPr>
                    <w:snapToGrid w:val="0"/>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莲花社区居民</w:t>
                  </w:r>
                </w:p>
              </w:tc>
              <w:tc>
                <w:tcPr>
                  <w:tcW w:w="1333" w:type="dxa"/>
                  <w:noWrap w:val="0"/>
                  <w:vAlign w:val="center"/>
                </w:tcPr>
                <w:p w14:paraId="5438D7B1">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东南侧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136</w:t>
                  </w:r>
                  <w:r>
                    <w:rPr>
                      <w:rFonts w:ascii="Times New Roman" w:hAnsi="Times New Roman" w:eastAsia="宋体" w:cs="Times New Roman"/>
                      <w:bCs/>
                      <w:color w:val="000000" w:themeColor="text1"/>
                      <w:szCs w:val="21"/>
                      <w:highlight w:val="none"/>
                      <w14:textFill>
                        <w14:solidFill>
                          <w14:schemeClr w14:val="tx1"/>
                        </w14:solidFill>
                      </w14:textFill>
                    </w:rPr>
                    <w:t>m</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~500m</w:t>
                  </w:r>
                </w:p>
              </w:tc>
              <w:tc>
                <w:tcPr>
                  <w:tcW w:w="1267" w:type="dxa"/>
                  <w:noWrap w:val="0"/>
                  <w:vAlign w:val="center"/>
                </w:tcPr>
                <w:p w14:paraId="6A5E79EC">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105°41′43.58″</w:t>
                  </w:r>
                </w:p>
              </w:tc>
              <w:tc>
                <w:tcPr>
                  <w:tcW w:w="1083" w:type="dxa"/>
                  <w:noWrap w:val="0"/>
                  <w:vAlign w:val="center"/>
                </w:tcPr>
                <w:p w14:paraId="7E18FDA8">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30°41′9.85″</w:t>
                  </w:r>
                </w:p>
              </w:tc>
              <w:tc>
                <w:tcPr>
                  <w:tcW w:w="950" w:type="dxa"/>
                  <w:noWrap w:val="0"/>
                  <w:vAlign w:val="center"/>
                </w:tcPr>
                <w:p w14:paraId="2FD428B9">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360人</w:t>
                  </w:r>
                </w:p>
              </w:tc>
              <w:tc>
                <w:tcPr>
                  <w:tcW w:w="1059" w:type="dxa"/>
                  <w:vMerge w:val="restart"/>
                  <w:noWrap w:val="0"/>
                  <w:vAlign w:val="center"/>
                </w:tcPr>
                <w:p w14:paraId="0CF65BE2">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《环境空气质量标准》（GB3095-2012）中二类</w:t>
                  </w:r>
                </w:p>
              </w:tc>
            </w:tr>
            <w:tr w14:paraId="07A7BB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3B3A4F25">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2EAC662C">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eastAsia="宋体"/>
                      <w:color w:val="000000" w:themeColor="text1"/>
                      <w:kern w:val="2"/>
                      <w:highlight w:val="none"/>
                      <w:lang w:eastAsia="zh-CN"/>
                      <w14:textFill>
                        <w14:solidFill>
                          <w14:schemeClr w14:val="tx1"/>
                        </w14:solidFill>
                      </w14:textFill>
                    </w:rPr>
                    <w:t>金秋福养老公寓</w:t>
                  </w:r>
                </w:p>
              </w:tc>
              <w:tc>
                <w:tcPr>
                  <w:tcW w:w="1333" w:type="dxa"/>
                  <w:noWrap w:val="0"/>
                  <w:vAlign w:val="center"/>
                </w:tcPr>
                <w:p w14:paraId="00C66518">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365m</w:t>
                  </w:r>
                </w:p>
              </w:tc>
              <w:tc>
                <w:tcPr>
                  <w:tcW w:w="1267" w:type="dxa"/>
                  <w:noWrap w:val="0"/>
                  <w:vAlign w:val="center"/>
                </w:tcPr>
                <w:p w14:paraId="4880EA0D">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105°41′31.92″</w:t>
                  </w:r>
                </w:p>
              </w:tc>
              <w:tc>
                <w:tcPr>
                  <w:tcW w:w="1083" w:type="dxa"/>
                  <w:noWrap w:val="0"/>
                  <w:vAlign w:val="center"/>
                </w:tcPr>
                <w:p w14:paraId="40EB0C4A">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30°41′2.71″</w:t>
                  </w:r>
                </w:p>
              </w:tc>
              <w:tc>
                <w:tcPr>
                  <w:tcW w:w="950" w:type="dxa"/>
                  <w:noWrap w:val="0"/>
                  <w:vAlign w:val="center"/>
                </w:tcPr>
                <w:p w14:paraId="40524275">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8</w:t>
                  </w:r>
                  <w:r>
                    <w:rPr>
                      <w:rFonts w:ascii="Times New Roman" w:hAnsi="Times New Roman" w:eastAsia="宋体" w:cs="Times New Roman"/>
                      <w:bCs/>
                      <w:color w:val="000000" w:themeColor="text1"/>
                      <w:szCs w:val="21"/>
                      <w:highlight w:val="none"/>
                      <w14:textFill>
                        <w14:solidFill>
                          <w14:schemeClr w14:val="tx1"/>
                        </w14:solidFill>
                      </w14:textFill>
                    </w:rPr>
                    <w:t>0人</w:t>
                  </w:r>
                </w:p>
              </w:tc>
              <w:tc>
                <w:tcPr>
                  <w:tcW w:w="1059" w:type="dxa"/>
                  <w:vMerge w:val="continue"/>
                  <w:noWrap w:val="0"/>
                  <w:vAlign w:val="center"/>
                </w:tcPr>
                <w:p w14:paraId="6BE48EDB">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51F922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714469F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4A352FF0">
                  <w:pPr>
                    <w:jc w:val="cente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龙洞学校</w:t>
                  </w:r>
                </w:p>
              </w:tc>
              <w:tc>
                <w:tcPr>
                  <w:tcW w:w="1333" w:type="dxa"/>
                  <w:noWrap w:val="0"/>
                  <w:vAlign w:val="center"/>
                </w:tcPr>
                <w:p w14:paraId="0F6FA502">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425m</w:t>
                  </w:r>
                </w:p>
              </w:tc>
              <w:tc>
                <w:tcPr>
                  <w:tcW w:w="1267" w:type="dxa"/>
                  <w:noWrap w:val="0"/>
                  <w:vAlign w:val="center"/>
                </w:tcPr>
                <w:p w14:paraId="1C12EFAE">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105°41′21.34″</w:t>
                  </w:r>
                </w:p>
              </w:tc>
              <w:tc>
                <w:tcPr>
                  <w:tcW w:w="1083" w:type="dxa"/>
                  <w:noWrap w:val="0"/>
                  <w:vAlign w:val="center"/>
                </w:tcPr>
                <w:p w14:paraId="33B8A0EF">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30°41′5.20″</w:t>
                  </w:r>
                </w:p>
              </w:tc>
              <w:tc>
                <w:tcPr>
                  <w:tcW w:w="950" w:type="dxa"/>
                  <w:noWrap w:val="0"/>
                  <w:vAlign w:val="center"/>
                </w:tcPr>
                <w:p w14:paraId="62B2F458">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500人</w:t>
                  </w:r>
                </w:p>
              </w:tc>
              <w:tc>
                <w:tcPr>
                  <w:tcW w:w="1059" w:type="dxa"/>
                  <w:vMerge w:val="continue"/>
                  <w:noWrap w:val="0"/>
                  <w:vAlign w:val="center"/>
                </w:tcPr>
                <w:p w14:paraId="73AAC177">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512573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2C29BD0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349ACE1D">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莲花社区居民</w:t>
                  </w:r>
                </w:p>
              </w:tc>
              <w:tc>
                <w:tcPr>
                  <w:tcW w:w="1333" w:type="dxa"/>
                  <w:noWrap w:val="0"/>
                  <w:vAlign w:val="center"/>
                </w:tcPr>
                <w:p w14:paraId="5534A76F">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441m</w:t>
                  </w:r>
                </w:p>
              </w:tc>
              <w:tc>
                <w:tcPr>
                  <w:tcW w:w="1267" w:type="dxa"/>
                  <w:noWrap w:val="0"/>
                  <w:vAlign w:val="center"/>
                </w:tcPr>
                <w:p w14:paraId="0057CE7E">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105°41′25.50″</w:t>
                  </w:r>
                </w:p>
              </w:tc>
              <w:tc>
                <w:tcPr>
                  <w:tcW w:w="1083" w:type="dxa"/>
                  <w:noWrap w:val="0"/>
                  <w:vAlign w:val="center"/>
                </w:tcPr>
                <w:p w14:paraId="0D38FE21">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30°41′3.48″</w:t>
                  </w:r>
                </w:p>
              </w:tc>
              <w:tc>
                <w:tcPr>
                  <w:tcW w:w="950" w:type="dxa"/>
                  <w:noWrap w:val="0"/>
                  <w:vAlign w:val="center"/>
                </w:tcPr>
                <w:p w14:paraId="4D064EA0">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36人</w:t>
                  </w:r>
                </w:p>
              </w:tc>
              <w:tc>
                <w:tcPr>
                  <w:tcW w:w="1059" w:type="dxa"/>
                  <w:vMerge w:val="continue"/>
                  <w:noWrap w:val="0"/>
                  <w:vAlign w:val="center"/>
                </w:tcPr>
                <w:p w14:paraId="07C47A52">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69F8B7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6D6E4E67">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5A27D594">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莲花社区居民</w:t>
                  </w:r>
                </w:p>
              </w:tc>
              <w:tc>
                <w:tcPr>
                  <w:tcW w:w="1333" w:type="dxa"/>
                  <w:noWrap w:val="0"/>
                  <w:vAlign w:val="center"/>
                </w:tcPr>
                <w:p w14:paraId="3B91ACA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282m</w:t>
                  </w:r>
                </w:p>
              </w:tc>
              <w:tc>
                <w:tcPr>
                  <w:tcW w:w="1267" w:type="dxa"/>
                  <w:noWrap w:val="0"/>
                  <w:vAlign w:val="center"/>
                </w:tcPr>
                <w:p w14:paraId="396005FC">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105°41′22.68″</w:t>
                  </w:r>
                </w:p>
              </w:tc>
              <w:tc>
                <w:tcPr>
                  <w:tcW w:w="1083" w:type="dxa"/>
                  <w:noWrap w:val="0"/>
                  <w:vAlign w:val="center"/>
                </w:tcPr>
                <w:p w14:paraId="3BB43C84">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30°41′21.4″</w:t>
                  </w:r>
                </w:p>
              </w:tc>
              <w:tc>
                <w:tcPr>
                  <w:tcW w:w="950" w:type="dxa"/>
                  <w:noWrap w:val="0"/>
                  <w:vAlign w:val="center"/>
                </w:tcPr>
                <w:p w14:paraId="5B45560C">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18人</w:t>
                  </w:r>
                </w:p>
              </w:tc>
              <w:tc>
                <w:tcPr>
                  <w:tcW w:w="1059" w:type="dxa"/>
                  <w:vMerge w:val="continue"/>
                  <w:noWrap w:val="0"/>
                  <w:vAlign w:val="center"/>
                </w:tcPr>
                <w:p w14:paraId="32DD4820">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76C5B7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366088C3">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3A010AE8">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莲花社区居民</w:t>
                  </w:r>
                </w:p>
              </w:tc>
              <w:tc>
                <w:tcPr>
                  <w:tcW w:w="1333" w:type="dxa"/>
                  <w:noWrap w:val="0"/>
                  <w:vAlign w:val="center"/>
                </w:tcPr>
                <w:p w14:paraId="0F393B91">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485m</w:t>
                  </w:r>
                </w:p>
              </w:tc>
              <w:tc>
                <w:tcPr>
                  <w:tcW w:w="1267" w:type="dxa"/>
                  <w:noWrap w:val="0"/>
                  <w:vAlign w:val="center"/>
                </w:tcPr>
                <w:p w14:paraId="6B5BD6AD">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105°41′14.18″</w:t>
                  </w:r>
                </w:p>
              </w:tc>
              <w:tc>
                <w:tcPr>
                  <w:tcW w:w="1083" w:type="dxa"/>
                  <w:noWrap w:val="0"/>
                  <w:vAlign w:val="center"/>
                </w:tcPr>
                <w:p w14:paraId="2C6E9C50">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30°41′17.1″</w:t>
                  </w:r>
                </w:p>
              </w:tc>
              <w:tc>
                <w:tcPr>
                  <w:tcW w:w="950" w:type="dxa"/>
                  <w:noWrap w:val="0"/>
                  <w:vAlign w:val="center"/>
                </w:tcPr>
                <w:p w14:paraId="6BD11CB8">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9</w:t>
                  </w:r>
                  <w:r>
                    <w:rPr>
                      <w:rFonts w:ascii="Times New Roman" w:hAnsi="Times New Roman" w:eastAsia="宋体" w:cs="Times New Roman"/>
                      <w:bCs/>
                      <w:color w:val="000000" w:themeColor="text1"/>
                      <w:szCs w:val="21"/>
                      <w:highlight w:val="none"/>
                      <w14:textFill>
                        <w14:solidFill>
                          <w14:schemeClr w14:val="tx1"/>
                        </w14:solidFill>
                      </w14:textFill>
                    </w:rPr>
                    <w:t>人</w:t>
                  </w:r>
                </w:p>
              </w:tc>
              <w:tc>
                <w:tcPr>
                  <w:tcW w:w="1059" w:type="dxa"/>
                  <w:vMerge w:val="continue"/>
                  <w:noWrap w:val="0"/>
                  <w:vAlign w:val="center"/>
                </w:tcPr>
                <w:p w14:paraId="4E1D7F4D">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7F0804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2D6E2F46">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019714B8">
                  <w:pPr>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eastAsia="宋体"/>
                      <w:color w:val="000000" w:themeColor="text1"/>
                      <w:kern w:val="2"/>
                      <w:highlight w:val="none"/>
                      <w:lang w:val="en-US" w:eastAsia="zh-CN"/>
                      <w14:textFill>
                        <w14:solidFill>
                          <w14:schemeClr w14:val="tx1"/>
                        </w14:solidFill>
                      </w14:textFill>
                    </w:rPr>
                    <w:t>新桥嘴安置小区</w:t>
                  </w:r>
                </w:p>
              </w:tc>
              <w:tc>
                <w:tcPr>
                  <w:tcW w:w="1333" w:type="dxa"/>
                  <w:noWrap w:val="0"/>
                  <w:vAlign w:val="center"/>
                </w:tcPr>
                <w:p w14:paraId="4554041B">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480m</w:t>
                  </w:r>
                </w:p>
              </w:tc>
              <w:tc>
                <w:tcPr>
                  <w:tcW w:w="1267" w:type="dxa"/>
                  <w:noWrap w:val="0"/>
                  <w:vAlign w:val="center"/>
                </w:tcPr>
                <w:p w14:paraId="5261540A">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105°41′14.57″</w:t>
                  </w:r>
                </w:p>
              </w:tc>
              <w:tc>
                <w:tcPr>
                  <w:tcW w:w="1083" w:type="dxa"/>
                  <w:noWrap w:val="0"/>
                  <w:vAlign w:val="center"/>
                </w:tcPr>
                <w:p w14:paraId="2A8B4234">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30°41′21.2″</w:t>
                  </w:r>
                </w:p>
              </w:tc>
              <w:tc>
                <w:tcPr>
                  <w:tcW w:w="950" w:type="dxa"/>
                  <w:noWrap w:val="0"/>
                  <w:vAlign w:val="center"/>
                </w:tcPr>
                <w:p w14:paraId="446909EB">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900人</w:t>
                  </w:r>
                </w:p>
              </w:tc>
              <w:tc>
                <w:tcPr>
                  <w:tcW w:w="1059" w:type="dxa"/>
                  <w:vMerge w:val="continue"/>
                  <w:noWrap w:val="0"/>
                  <w:vAlign w:val="center"/>
                </w:tcPr>
                <w:p w14:paraId="72999485">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r w14:paraId="51B02E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3" w:hRule="atLeast"/>
                <w:jc w:val="center"/>
              </w:trPr>
              <w:tc>
                <w:tcPr>
                  <w:tcW w:w="861" w:type="dxa"/>
                  <w:vMerge w:val="continue"/>
                  <w:noWrap w:val="0"/>
                  <w:vAlign w:val="center"/>
                </w:tcPr>
                <w:p w14:paraId="333D7ACD">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p>
              </w:tc>
              <w:tc>
                <w:tcPr>
                  <w:tcW w:w="1484" w:type="dxa"/>
                  <w:noWrap w:val="0"/>
                  <w:vAlign w:val="center"/>
                </w:tcPr>
                <w:p w14:paraId="39E0D020">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莲花社区居民</w:t>
                  </w:r>
                </w:p>
              </w:tc>
              <w:tc>
                <w:tcPr>
                  <w:tcW w:w="1333" w:type="dxa"/>
                  <w:noWrap w:val="0"/>
                  <w:vAlign w:val="center"/>
                </w:tcPr>
                <w:p w14:paraId="6A7F2D6F">
                  <w:pPr>
                    <w:snapToGrid w:val="0"/>
                    <w:jc w:val="center"/>
                    <w:rPr>
                      <w:rFonts w:ascii="Times New Roman" w:hAnsi="Times New Roman" w:eastAsia="宋体" w:cs="Times New Roman"/>
                      <w:bCs/>
                      <w:color w:val="000000" w:themeColor="text1"/>
                      <w:szCs w:val="21"/>
                      <w:highlight w:val="none"/>
                      <w14:textFill>
                        <w14:solidFill>
                          <w14:schemeClr w14:val="tx1"/>
                        </w14:solidFill>
                      </w14:textFill>
                    </w:rPr>
                  </w:pPr>
                  <w:r>
                    <w:rPr>
                      <w:rFonts w:hint="eastAsia" w:ascii="Times New Roman" w:hAnsi="Times New Roman" w:eastAsia="宋体" w:cs="Times New Roman"/>
                      <w:bCs/>
                      <w:color w:val="000000" w:themeColor="text1"/>
                      <w:szCs w:val="21"/>
                      <w:highlight w:val="none"/>
                      <w:lang w:eastAsia="zh-CN"/>
                      <w14:textFill>
                        <w14:solidFill>
                          <w14:schemeClr w14:val="tx1"/>
                        </w14:solidFill>
                      </w14:textFill>
                    </w:rPr>
                    <w:t>西北侧</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443m</w:t>
                  </w:r>
                </w:p>
              </w:tc>
              <w:tc>
                <w:tcPr>
                  <w:tcW w:w="1267" w:type="dxa"/>
                  <w:noWrap w:val="0"/>
                  <w:vAlign w:val="center"/>
                </w:tcPr>
                <w:p w14:paraId="3E8F80CB">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105°41′24.80″</w:t>
                  </w:r>
                </w:p>
              </w:tc>
              <w:tc>
                <w:tcPr>
                  <w:tcW w:w="1083" w:type="dxa"/>
                  <w:noWrap w:val="0"/>
                  <w:vAlign w:val="center"/>
                </w:tcPr>
                <w:p w14:paraId="49E2A0E7">
                  <w:pPr>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30°41′31.6″</w:t>
                  </w:r>
                </w:p>
              </w:tc>
              <w:tc>
                <w:tcPr>
                  <w:tcW w:w="950" w:type="dxa"/>
                  <w:noWrap w:val="0"/>
                  <w:vAlign w:val="center"/>
                </w:tcPr>
                <w:p w14:paraId="24F9E1D8">
                  <w:pPr>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约</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21人</w:t>
                  </w:r>
                </w:p>
              </w:tc>
              <w:tc>
                <w:tcPr>
                  <w:tcW w:w="1059" w:type="dxa"/>
                  <w:vMerge w:val="continue"/>
                  <w:noWrap w:val="0"/>
                  <w:vAlign w:val="center"/>
                </w:tcPr>
                <w:p w14:paraId="50813173">
                  <w:pPr>
                    <w:snapToGrid w:val="0"/>
                    <w:jc w:val="center"/>
                    <w:rPr>
                      <w:rFonts w:ascii="Times New Roman" w:hAnsi="Times New Roman" w:eastAsia="宋体" w:cs="Times New Roman"/>
                      <w:color w:val="000000" w:themeColor="text1"/>
                      <w:szCs w:val="21"/>
                      <w:highlight w:val="none"/>
                      <w14:textFill>
                        <w14:solidFill>
                          <w14:schemeClr w14:val="tx1"/>
                        </w14:solidFill>
                      </w14:textFill>
                    </w:rPr>
                  </w:pPr>
                </w:p>
              </w:tc>
            </w:tr>
          </w:tbl>
          <w:p w14:paraId="66EA81EF">
            <w:pPr>
              <w:adjustRightInd w:val="0"/>
              <w:snapToGrid w:val="0"/>
              <w:spacing w:before="120" w:beforeLines="50" w:line="360" w:lineRule="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二</w:t>
            </w:r>
            <w:r>
              <w:rPr>
                <w:rFonts w:ascii="Times New Roman" w:hAnsi="Times New Roman" w:eastAsia="宋体" w:cs="Times New Roman"/>
                <w:b/>
                <w:bCs/>
                <w:color w:val="000000" w:themeColor="text1"/>
                <w:sz w:val="24"/>
                <w:szCs w:val="24"/>
                <w:highlight w:val="none"/>
                <w14:textFill>
                  <w14:solidFill>
                    <w14:schemeClr w14:val="tx1"/>
                  </w14:solidFill>
                </w14:textFill>
              </w:rPr>
              <w:t>、声环境保护目标</w:t>
            </w:r>
          </w:p>
          <w:p w14:paraId="16AFBBD7">
            <w:pPr>
              <w:adjustRightInd w:val="0"/>
              <w:snapToGrid w:val="0"/>
              <w:spacing w:line="360" w:lineRule="auto"/>
              <w:ind w:firstLine="480" w:firstLineChars="200"/>
              <w:rPr>
                <w:rFonts w:ascii="Times New Roman" w:hAnsi="Times New Roman" w:eastAsia="宋体" w:cs="Times New Roman"/>
                <w:bCs/>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本项目厂界外50m范围内</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无</w:t>
            </w:r>
            <w:r>
              <w:rPr>
                <w:rFonts w:ascii="Times New Roman" w:hAnsi="Times New Roman" w:eastAsia="宋体" w:cs="Times New Roman"/>
                <w:color w:val="000000" w:themeColor="text1"/>
                <w:sz w:val="24"/>
                <w:szCs w:val="24"/>
                <w:highlight w:val="none"/>
                <w14:textFill>
                  <w14:solidFill>
                    <w14:schemeClr w14:val="tx1"/>
                  </w14:solidFill>
                </w14:textFill>
              </w:rPr>
              <w:t>声环境保护目标</w:t>
            </w:r>
            <w:r>
              <w:rPr>
                <w:rFonts w:ascii="Times New Roman" w:hAnsi="Times New Roman" w:eastAsia="宋体" w:cs="Times New Roman"/>
                <w:bCs/>
                <w:color w:val="000000" w:themeColor="text1"/>
                <w:sz w:val="24"/>
                <w:szCs w:val="24"/>
                <w:highlight w:val="none"/>
                <w14:textFill>
                  <w14:solidFill>
                    <w14:schemeClr w14:val="tx1"/>
                  </w14:solidFill>
                </w14:textFill>
              </w:rPr>
              <w:t>。</w:t>
            </w:r>
          </w:p>
          <w:p w14:paraId="0CC4EA7D">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三</w:t>
            </w:r>
            <w:r>
              <w:rPr>
                <w:rFonts w:ascii="Times New Roman" w:hAnsi="Times New Roman" w:eastAsia="宋体" w:cs="Times New Roman"/>
                <w:b/>
                <w:bCs/>
                <w:color w:val="000000" w:themeColor="text1"/>
                <w:sz w:val="24"/>
                <w:szCs w:val="24"/>
                <w:highlight w:val="none"/>
                <w14:textFill>
                  <w14:solidFill>
                    <w14:schemeClr w14:val="tx1"/>
                  </w14:solidFill>
                </w14:textFill>
              </w:rPr>
              <w:t>、地下水环境保护目标</w:t>
            </w:r>
          </w:p>
          <w:p w14:paraId="69D10930">
            <w:pPr>
              <w:adjustRightInd w:val="0"/>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本项目厂界外500m范围内无地下水集中式饮用水水源和热水、矿泉水、温泉等特殊地下水资源，无地下水环境保护目标。</w:t>
            </w:r>
          </w:p>
          <w:p w14:paraId="08CE0A5B">
            <w:pPr>
              <w:adjustRightInd w:val="0"/>
              <w:snapToGrid w:val="0"/>
              <w:spacing w:line="360" w:lineRule="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四</w:t>
            </w:r>
            <w:r>
              <w:rPr>
                <w:rFonts w:ascii="Times New Roman" w:hAnsi="Times New Roman" w:eastAsia="宋体" w:cs="Times New Roman"/>
                <w:b/>
                <w:bCs/>
                <w:color w:val="000000" w:themeColor="text1"/>
                <w:sz w:val="24"/>
                <w:szCs w:val="24"/>
                <w:highlight w:val="none"/>
                <w14:textFill>
                  <w14:solidFill>
                    <w14:schemeClr w14:val="tx1"/>
                  </w14:solidFill>
                </w14:textFill>
              </w:rPr>
              <w:t>、生态环境保护目标</w:t>
            </w:r>
          </w:p>
          <w:p w14:paraId="14849F43">
            <w:pPr>
              <w:adjustRightInd w:val="0"/>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本项目位于</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w:t>
            </w:r>
            <w:r>
              <w:rPr>
                <w:rFonts w:ascii="Times New Roman" w:hAnsi="Times New Roman" w:eastAsia="宋体" w:cs="Times New Roman"/>
                <w:color w:val="000000" w:themeColor="text1"/>
                <w:sz w:val="24"/>
                <w:szCs w:val="28"/>
                <w:highlight w:val="none"/>
                <w14:textFill>
                  <w14:solidFill>
                    <w14:schemeClr w14:val="tx1"/>
                  </w14:solidFill>
                </w14:textFill>
              </w:rPr>
              <w:t>内，无生态环境保护目标。</w:t>
            </w:r>
          </w:p>
          <w:p w14:paraId="7F30FA67">
            <w:pPr>
              <w:adjustRightInd w:val="0"/>
              <w:snapToGrid w:val="0"/>
              <w:spacing w:line="360" w:lineRule="auto"/>
              <w:rPr>
                <w:rFonts w:ascii="Times New Roman" w:hAnsi="Times New Roman" w:eastAsia="宋体" w:cs="Times New Roman"/>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eastAsia="zh-CN"/>
                <w14:textFill>
                  <w14:solidFill>
                    <w14:schemeClr w14:val="tx1"/>
                  </w14:solidFill>
                </w14:textFill>
              </w:rPr>
              <w:t>五</w:t>
            </w:r>
            <w:r>
              <w:rPr>
                <w:rFonts w:ascii="Times New Roman" w:hAnsi="Times New Roman" w:eastAsia="宋体" w:cs="Times New Roman"/>
                <w:b/>
                <w:bCs/>
                <w:color w:val="000000" w:themeColor="text1"/>
                <w:sz w:val="24"/>
                <w:szCs w:val="24"/>
                <w:highlight w:val="none"/>
                <w14:textFill>
                  <w14:solidFill>
                    <w14:schemeClr w14:val="tx1"/>
                  </w14:solidFill>
                </w14:textFill>
              </w:rPr>
              <w:t>、地表水环境保护目标</w:t>
            </w:r>
          </w:p>
          <w:p w14:paraId="21F34025">
            <w:pPr>
              <w:adjustRightInd w:val="0"/>
              <w:snapToGrid w:val="0"/>
              <w:spacing w:line="360" w:lineRule="auto"/>
              <w:ind w:firstLine="480" w:firstLineChars="200"/>
              <w:rPr>
                <w:rFonts w:ascii="Times New Roman" w:hAnsi="Times New Roman" w:eastAsia="宋体" w:cs="Times New Roman"/>
                <w:color w:val="000000" w:themeColor="text1"/>
                <w:sz w:val="24"/>
                <w:szCs w:val="24"/>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地表水环境：保护目标为项目受纳水体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小潼河</w:t>
            </w:r>
            <w:r>
              <w:rPr>
                <w:rFonts w:ascii="Times New Roman" w:hAnsi="Times New Roman" w:eastAsia="宋体" w:cs="Times New Roman"/>
                <w:color w:val="000000" w:themeColor="text1"/>
                <w:sz w:val="24"/>
                <w:szCs w:val="24"/>
                <w:highlight w:val="none"/>
                <w14:textFill>
                  <w14:solidFill>
                    <w14:schemeClr w14:val="tx1"/>
                  </w14:solidFill>
                </w14:textFill>
              </w:rPr>
              <w:t>，目标水质为《地表水环境质量标准》（GB3838-2002）中Ⅲ类水域标准。</w:t>
            </w:r>
          </w:p>
          <w:p w14:paraId="67F73E9F">
            <w:pPr>
              <w:adjustRightInd w:val="0"/>
              <w:snapToGrid w:val="0"/>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表3-</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6</w:t>
            </w:r>
            <w:r>
              <w:rPr>
                <w:rFonts w:ascii="Times New Roman" w:hAnsi="Times New Roman" w:eastAsia="宋体" w:cs="Times New Roman"/>
                <w:b/>
                <w:color w:val="000000" w:themeColor="text1"/>
                <w:szCs w:val="21"/>
                <w:highlight w:val="none"/>
                <w14:textFill>
                  <w14:solidFill>
                    <w14:schemeClr w14:val="tx1"/>
                  </w14:solidFill>
                </w14:textFill>
              </w:rPr>
              <w:t xml:space="preserve">    地表水环境保护目标</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93"/>
              <w:gridCol w:w="1352"/>
              <w:gridCol w:w="827"/>
              <w:gridCol w:w="1516"/>
              <w:gridCol w:w="924"/>
              <w:gridCol w:w="2526"/>
            </w:tblGrid>
            <w:tr w14:paraId="103C5C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56" w:type="pct"/>
                  <w:noWrap w:val="0"/>
                  <w:vAlign w:val="center"/>
                </w:tcPr>
                <w:p w14:paraId="6AB131EE">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要素</w:t>
                  </w:r>
                </w:p>
              </w:tc>
              <w:tc>
                <w:tcPr>
                  <w:tcW w:w="840" w:type="pct"/>
                  <w:noWrap w:val="0"/>
                  <w:vAlign w:val="center"/>
                </w:tcPr>
                <w:p w14:paraId="65F5436C">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敏感点名称</w:t>
                  </w:r>
                </w:p>
              </w:tc>
              <w:tc>
                <w:tcPr>
                  <w:tcW w:w="514" w:type="pct"/>
                  <w:noWrap w:val="0"/>
                  <w:vAlign w:val="center"/>
                </w:tcPr>
                <w:p w14:paraId="13F03AB7">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方向</w:t>
                  </w:r>
                </w:p>
              </w:tc>
              <w:tc>
                <w:tcPr>
                  <w:tcW w:w="942" w:type="pct"/>
                  <w:noWrap w:val="0"/>
                  <w:vAlign w:val="center"/>
                </w:tcPr>
                <w:p w14:paraId="65878F67">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最近距离（</w:t>
                  </w:r>
                  <w:r>
                    <w:rPr>
                      <w:rFonts w:ascii="Times New Roman" w:hAnsi="Times New Roman" w:eastAsia="宋体" w:cs="Times New Roman"/>
                      <w:b/>
                      <w:bCs/>
                      <w:color w:val="000000" w:themeColor="text1"/>
                      <w:szCs w:val="21"/>
                      <w:highlight w:val="none"/>
                      <w14:textFill>
                        <w14:solidFill>
                          <w14:schemeClr w14:val="tx1"/>
                        </w14:solidFill>
                      </w14:textFill>
                    </w:rPr>
                    <w:t>m</w:t>
                  </w:r>
                  <w:r>
                    <w:rPr>
                      <w:rFonts w:ascii="Times New Roman" w:hAnsi="Times New Roman" w:eastAsia="宋体" w:cs="Times New Roman"/>
                      <w:b/>
                      <w:color w:val="000000" w:themeColor="text1"/>
                      <w:szCs w:val="21"/>
                      <w:highlight w:val="none"/>
                      <w14:textFill>
                        <w14:solidFill>
                          <w14:schemeClr w14:val="tx1"/>
                        </w14:solidFill>
                      </w14:textFill>
                    </w:rPr>
                    <w:t>）</w:t>
                  </w:r>
                </w:p>
              </w:tc>
              <w:tc>
                <w:tcPr>
                  <w:tcW w:w="575" w:type="pct"/>
                  <w:noWrap w:val="0"/>
                  <w:vAlign w:val="center"/>
                </w:tcPr>
                <w:p w14:paraId="141A8056">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备注</w:t>
                  </w:r>
                </w:p>
              </w:tc>
              <w:tc>
                <w:tcPr>
                  <w:tcW w:w="1570" w:type="pct"/>
                  <w:noWrap w:val="0"/>
                  <w:vAlign w:val="center"/>
                </w:tcPr>
                <w:p w14:paraId="278ABD86">
                  <w:pPr>
                    <w:jc w:val="center"/>
                    <w:rPr>
                      <w:rFonts w:ascii="Times New Roman" w:hAnsi="Times New Roman" w:eastAsia="宋体" w:cs="Times New Roman"/>
                      <w:b/>
                      <w:color w:val="000000" w:themeColor="text1"/>
                      <w:szCs w:val="21"/>
                      <w:highlight w:val="none"/>
                      <w14:textFill>
                        <w14:solidFill>
                          <w14:schemeClr w14:val="tx1"/>
                        </w14:solidFill>
                      </w14:textFill>
                    </w:rPr>
                  </w:pPr>
                  <w:r>
                    <w:rPr>
                      <w:rFonts w:ascii="Times New Roman" w:hAnsi="Times New Roman" w:eastAsia="宋体" w:cs="Times New Roman"/>
                      <w:b/>
                      <w:color w:val="000000" w:themeColor="text1"/>
                      <w:szCs w:val="21"/>
                      <w:highlight w:val="none"/>
                      <w14:textFill>
                        <w14:solidFill>
                          <w14:schemeClr w14:val="tx1"/>
                        </w14:solidFill>
                      </w14:textFill>
                    </w:rPr>
                    <w:t>执行标准</w:t>
                  </w:r>
                </w:p>
              </w:tc>
            </w:tr>
            <w:tr w14:paraId="06B441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56" w:type="pct"/>
                  <w:noWrap w:val="0"/>
                  <w:vAlign w:val="center"/>
                </w:tcPr>
                <w:p w14:paraId="6DEAEE73">
                  <w:pPr>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地表水</w:t>
                  </w:r>
                </w:p>
              </w:tc>
              <w:tc>
                <w:tcPr>
                  <w:tcW w:w="840" w:type="pct"/>
                  <w:noWrap w:val="0"/>
                  <w:vAlign w:val="center"/>
                </w:tcPr>
                <w:p w14:paraId="78C245AD">
                  <w:pPr>
                    <w:jc w:val="center"/>
                    <w:rPr>
                      <w:rFonts w:hint="eastAsia" w:ascii="Times New Roman" w:hAnsi="Times New Roman" w:eastAsia="宋体" w:cs="Times New Roman"/>
                      <w:color w:val="000000" w:themeColor="text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小潼河</w:t>
                  </w:r>
                </w:p>
              </w:tc>
              <w:tc>
                <w:tcPr>
                  <w:tcW w:w="514" w:type="pct"/>
                  <w:noWrap w:val="0"/>
                  <w:vAlign w:val="center"/>
                </w:tcPr>
                <w:p w14:paraId="6834FF47">
                  <w:pPr>
                    <w:jc w:val="center"/>
                    <w:rPr>
                      <w:rFonts w:hint="eastAsia" w:ascii="Times New Roman" w:hAnsi="Times New Roman" w:eastAsia="宋体" w:cs="Times New Roman"/>
                      <w:color w:val="000000" w:themeColor="text1"/>
                      <w:szCs w:val="21"/>
                      <w:highlight w:val="none"/>
                      <w:lang w:eastAsia="zh-CN"/>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西</w:t>
                  </w: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南</w:t>
                  </w:r>
                </w:p>
              </w:tc>
              <w:tc>
                <w:tcPr>
                  <w:tcW w:w="942" w:type="pct"/>
                  <w:noWrap w:val="0"/>
                  <w:vAlign w:val="center"/>
                </w:tcPr>
                <w:p w14:paraId="36A51255">
                  <w:pPr>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250</w:t>
                  </w:r>
                </w:p>
              </w:tc>
              <w:tc>
                <w:tcPr>
                  <w:tcW w:w="575" w:type="pct"/>
                  <w:noWrap w:val="0"/>
                  <w:vAlign w:val="center"/>
                </w:tcPr>
                <w:p w14:paraId="03542C14">
                  <w:pPr>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受纳水体</w:t>
                  </w:r>
                </w:p>
              </w:tc>
              <w:tc>
                <w:tcPr>
                  <w:tcW w:w="1570" w:type="pct"/>
                  <w:noWrap w:val="0"/>
                  <w:vAlign w:val="center"/>
                </w:tcPr>
                <w:p w14:paraId="3D6356B2">
                  <w:pPr>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GB3838-2002《地表水环境质量标准》Ⅲ类标准</w:t>
                  </w:r>
                </w:p>
              </w:tc>
            </w:tr>
          </w:tbl>
          <w:p w14:paraId="3BF3496E">
            <w:pPr>
              <w:spacing w:line="500" w:lineRule="exact"/>
              <w:rPr>
                <w:rFonts w:ascii="Times New Roman" w:hAnsi="Times New Roman" w:eastAsia="宋体"/>
                <w:color w:val="000000" w:themeColor="text1"/>
                <w:sz w:val="24"/>
                <w:szCs w:val="21"/>
                <w:highlight w:val="none"/>
                <w14:textFill>
                  <w14:solidFill>
                    <w14:schemeClr w14:val="tx1"/>
                  </w14:solidFill>
                </w14:textFill>
              </w:rPr>
            </w:pPr>
          </w:p>
        </w:tc>
      </w:tr>
      <w:tr w14:paraId="0599CA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4C9CEA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污染物排放控制标准</w:t>
            </w:r>
          </w:p>
        </w:tc>
        <w:tc>
          <w:tcPr>
            <w:tcW w:w="4500" w:type="pct"/>
          </w:tcPr>
          <w:p w14:paraId="647FBCC0">
            <w:pPr>
              <w:spacing w:line="500" w:lineRule="exact"/>
              <w:rPr>
                <w:rFonts w:ascii="Times New Roman" w:hAnsi="Times New Roman" w:eastAsia="宋体"/>
                <w:b/>
                <w:bCs/>
                <w:color w:val="000000" w:themeColor="text1"/>
                <w:sz w:val="24"/>
                <w:szCs w:val="21"/>
                <w:highlight w:val="none"/>
                <w14:textFill>
                  <w14:solidFill>
                    <w14:schemeClr w14:val="tx1"/>
                  </w14:solidFill>
                </w14:textFill>
              </w:rPr>
            </w:pPr>
            <w:r>
              <w:rPr>
                <w:rFonts w:hint="eastAsia" w:ascii="Times New Roman" w:hAnsi="Times New Roman" w:eastAsia="宋体"/>
                <w:b/>
                <w:bCs/>
                <w:color w:val="000000" w:themeColor="text1"/>
                <w:sz w:val="24"/>
                <w:szCs w:val="21"/>
                <w:highlight w:val="none"/>
                <w14:textFill>
                  <w14:solidFill>
                    <w14:schemeClr w14:val="tx1"/>
                  </w14:solidFill>
                </w14:textFill>
              </w:rPr>
              <w:t>一、大气污染物</w:t>
            </w:r>
          </w:p>
          <w:p w14:paraId="12A8366E">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1</w:t>
            </w:r>
            <w:r>
              <w:rPr>
                <w:rFonts w:hint="eastAsia" w:ascii="Times New Roman" w:hAnsi="Times New Roman" w:eastAsia="宋体"/>
                <w:color w:val="000000" w:themeColor="text1"/>
                <w:kern w:val="0"/>
                <w:sz w:val="24"/>
                <w:szCs w:val="24"/>
                <w:highlight w:val="none"/>
                <w14:textFill>
                  <w14:solidFill>
                    <w14:schemeClr w14:val="tx1"/>
                  </w14:solidFill>
                </w14:textFill>
              </w:rPr>
              <w:t>、施工期</w:t>
            </w:r>
          </w:p>
          <w:p w14:paraId="65B0D7E6">
            <w:pPr>
              <w:widowControl/>
              <w:spacing w:line="360" w:lineRule="auto"/>
              <w:ind w:firstLine="480" w:firstLineChars="200"/>
              <w:jc w:val="left"/>
              <w:rPr>
                <w:rFonts w:hint="default" w:ascii="Times New Roman" w:hAnsi="Times New Roman" w:eastAsia="宋体" w:cs="Times New Roman"/>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14:textFill>
                  <w14:solidFill>
                    <w14:schemeClr w14:val="tx1"/>
                  </w14:solidFill>
                </w14:textFill>
              </w:rPr>
              <w:t>施工期扬尘执行《四川省施工场地扬尘排放标准》（DB51/2682-2020）不同施工阶段的标准限制。</w:t>
            </w:r>
          </w:p>
          <w:p w14:paraId="5F690109">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表3-</w:t>
            </w:r>
            <w:r>
              <w:rPr>
                <w:rFonts w:hint="eastAsia" w:ascii="Times New Roman" w:hAnsi="Times New Roman" w:eastAsia="宋体" w:cs="Times New Roman"/>
                <w:b/>
                <w:bCs/>
                <w:color w:val="000000" w:themeColor="text1"/>
                <w:kern w:val="0"/>
                <w:szCs w:val="21"/>
                <w:highlight w:val="none"/>
                <w:lang w:val="en-US" w:eastAsia="zh-CN"/>
                <w14:textFill>
                  <w14:solidFill>
                    <w14:schemeClr w14:val="tx1"/>
                  </w14:solidFill>
                </w14:textFill>
              </w:rPr>
              <w:t>7</w:t>
            </w:r>
            <w:r>
              <w:rPr>
                <w:rFonts w:hint="default" w:ascii="Times New Roman" w:hAnsi="Times New Roman" w:eastAsia="宋体" w:cs="Times New Roman"/>
                <w:b/>
                <w:bCs/>
                <w:color w:val="000000" w:themeColor="text1"/>
                <w:kern w:val="0"/>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kern w:val="0"/>
                <w:szCs w:val="21"/>
                <w:highlight w:val="none"/>
                <w14:textFill>
                  <w14:solidFill>
                    <w14:schemeClr w14:val="tx1"/>
                  </w14:solidFill>
                </w14:textFill>
              </w:rPr>
              <w:t xml:space="preserve">   《四川省施工场地扬尘排放标准》（DB51/2682-2020）</w:t>
            </w:r>
          </w:p>
          <w:tbl>
            <w:tblPr>
              <w:tblStyle w:val="20"/>
              <w:tblW w:w="0" w:type="auto"/>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08"/>
              <w:gridCol w:w="1372"/>
              <w:gridCol w:w="1812"/>
              <w:gridCol w:w="1731"/>
              <w:gridCol w:w="1514"/>
            </w:tblGrid>
            <w:tr w14:paraId="559422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08" w:type="dxa"/>
                  <w:noWrap w:val="0"/>
                  <w:vAlign w:val="center"/>
                </w:tcPr>
                <w:p w14:paraId="444F77EE">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监测项目</w:t>
                  </w:r>
                </w:p>
              </w:tc>
              <w:tc>
                <w:tcPr>
                  <w:tcW w:w="1372" w:type="dxa"/>
                  <w:noWrap w:val="0"/>
                  <w:vAlign w:val="center"/>
                </w:tcPr>
                <w:p w14:paraId="661811DE">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区域</w:t>
                  </w:r>
                </w:p>
              </w:tc>
              <w:tc>
                <w:tcPr>
                  <w:tcW w:w="1812" w:type="dxa"/>
                  <w:noWrap w:val="0"/>
                  <w:vAlign w:val="center"/>
                </w:tcPr>
                <w:p w14:paraId="30F130E6">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施工阶段</w:t>
                  </w:r>
                </w:p>
              </w:tc>
              <w:tc>
                <w:tcPr>
                  <w:tcW w:w="1731" w:type="dxa"/>
                  <w:noWrap w:val="0"/>
                  <w:vAlign w:val="center"/>
                </w:tcPr>
                <w:p w14:paraId="695D1575">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监测点排放限值</w:t>
                  </w:r>
                </w:p>
              </w:tc>
              <w:tc>
                <w:tcPr>
                  <w:tcW w:w="1514" w:type="dxa"/>
                  <w:noWrap w:val="0"/>
                  <w:vAlign w:val="center"/>
                </w:tcPr>
                <w:p w14:paraId="6FEB06EE">
                  <w:pPr>
                    <w:adjustRightInd w:val="0"/>
                    <w:snapToGrid w:val="0"/>
                    <w:jc w:val="center"/>
                    <w:rPr>
                      <w:rFonts w:hint="default" w:ascii="Times New Roman" w:hAnsi="Times New Roman" w:eastAsia="宋体" w:cs="Times New Roman"/>
                      <w:b/>
                      <w:bCs/>
                      <w:color w:val="000000" w:themeColor="text1"/>
                      <w:kern w:val="0"/>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Cs w:val="21"/>
                      <w:highlight w:val="none"/>
                      <w14:textFill>
                        <w14:solidFill>
                          <w14:schemeClr w14:val="tx1"/>
                        </w14:solidFill>
                      </w14:textFill>
                    </w:rPr>
                    <w:t>监测时间</w:t>
                  </w:r>
                </w:p>
              </w:tc>
            </w:tr>
            <w:tr w14:paraId="75396D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08" w:type="dxa"/>
                  <w:vMerge w:val="restart"/>
                  <w:noWrap w:val="0"/>
                  <w:vAlign w:val="center"/>
                </w:tcPr>
                <w:p w14:paraId="4E5E21DC">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总悬浮颗粒物（TSP）</w:t>
                  </w:r>
                </w:p>
              </w:tc>
              <w:tc>
                <w:tcPr>
                  <w:tcW w:w="1372" w:type="dxa"/>
                  <w:vMerge w:val="restart"/>
                  <w:noWrap w:val="0"/>
                  <w:vAlign w:val="center"/>
                </w:tcPr>
                <w:p w14:paraId="0CFC9B43">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0"/>
                      <w:szCs w:val="21"/>
                      <w:highlight w:val="none"/>
                      <w:lang w:eastAsia="zh-CN"/>
                      <w14:textFill>
                        <w14:solidFill>
                          <w14:schemeClr w14:val="tx1"/>
                        </w14:solidFill>
                      </w14:textFill>
                    </w:rPr>
                    <w:t>遂宁</w:t>
                  </w:r>
                  <w:r>
                    <w:rPr>
                      <w:rFonts w:hint="default" w:ascii="Times New Roman" w:hAnsi="Times New Roman" w:eastAsia="宋体" w:cs="Times New Roman"/>
                      <w:color w:val="000000" w:themeColor="text1"/>
                      <w:kern w:val="0"/>
                      <w:szCs w:val="21"/>
                      <w:highlight w:val="none"/>
                      <w14:textFill>
                        <w14:solidFill>
                          <w14:schemeClr w14:val="tx1"/>
                        </w14:solidFill>
                      </w14:textFill>
                    </w:rPr>
                    <w:t>市</w:t>
                  </w:r>
                </w:p>
              </w:tc>
              <w:tc>
                <w:tcPr>
                  <w:tcW w:w="1812" w:type="dxa"/>
                  <w:noWrap w:val="0"/>
                  <w:vAlign w:val="center"/>
                </w:tcPr>
                <w:p w14:paraId="65583CA4">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拆除工程/土方开挖/土方回填阶段</w:t>
                  </w:r>
                </w:p>
              </w:tc>
              <w:tc>
                <w:tcPr>
                  <w:tcW w:w="1731" w:type="dxa"/>
                  <w:noWrap w:val="0"/>
                  <w:vAlign w:val="center"/>
                </w:tcPr>
                <w:p w14:paraId="457D318E">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600μg/m</w:t>
                  </w:r>
                  <w:r>
                    <w:rPr>
                      <w:rFonts w:hint="default" w:ascii="Times New Roman" w:hAnsi="Times New Roman" w:eastAsia="宋体" w:cs="Times New Roman"/>
                      <w:color w:val="000000" w:themeColor="text1"/>
                      <w:kern w:val="0"/>
                      <w:szCs w:val="21"/>
                      <w:highlight w:val="none"/>
                      <w:vertAlign w:val="superscript"/>
                      <w14:textFill>
                        <w14:solidFill>
                          <w14:schemeClr w14:val="tx1"/>
                        </w14:solidFill>
                      </w14:textFill>
                    </w:rPr>
                    <w:t>3</w:t>
                  </w:r>
                </w:p>
              </w:tc>
              <w:tc>
                <w:tcPr>
                  <w:tcW w:w="1514" w:type="dxa"/>
                  <w:vMerge w:val="restart"/>
                  <w:noWrap w:val="0"/>
                  <w:vAlign w:val="center"/>
                </w:tcPr>
                <w:p w14:paraId="0A4D6803">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自监测起持续15分钟</w:t>
                  </w:r>
                </w:p>
              </w:tc>
            </w:tr>
            <w:tr w14:paraId="5E05A2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608" w:type="dxa"/>
                  <w:vMerge w:val="continue"/>
                  <w:noWrap w:val="0"/>
                  <w:vAlign w:val="center"/>
                </w:tcPr>
                <w:p w14:paraId="32CC9D9A">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p>
              </w:tc>
              <w:tc>
                <w:tcPr>
                  <w:tcW w:w="1372" w:type="dxa"/>
                  <w:vMerge w:val="continue"/>
                  <w:noWrap w:val="0"/>
                  <w:vAlign w:val="center"/>
                </w:tcPr>
                <w:p w14:paraId="753B724A">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p>
              </w:tc>
              <w:tc>
                <w:tcPr>
                  <w:tcW w:w="1812" w:type="dxa"/>
                  <w:noWrap w:val="0"/>
                  <w:vAlign w:val="center"/>
                </w:tcPr>
                <w:p w14:paraId="71670B60">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其他工程阶段</w:t>
                  </w:r>
                </w:p>
              </w:tc>
              <w:tc>
                <w:tcPr>
                  <w:tcW w:w="1731" w:type="dxa"/>
                  <w:noWrap w:val="0"/>
                  <w:vAlign w:val="center"/>
                </w:tcPr>
                <w:p w14:paraId="1D94A540">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250μg/m</w:t>
                  </w:r>
                  <w:r>
                    <w:rPr>
                      <w:rFonts w:hint="default" w:ascii="Times New Roman" w:hAnsi="Times New Roman" w:eastAsia="宋体" w:cs="Times New Roman"/>
                      <w:color w:val="000000" w:themeColor="text1"/>
                      <w:kern w:val="0"/>
                      <w:szCs w:val="21"/>
                      <w:highlight w:val="none"/>
                      <w:vertAlign w:val="superscript"/>
                      <w14:textFill>
                        <w14:solidFill>
                          <w14:schemeClr w14:val="tx1"/>
                        </w14:solidFill>
                      </w14:textFill>
                    </w:rPr>
                    <w:t>3</w:t>
                  </w:r>
                </w:p>
              </w:tc>
              <w:tc>
                <w:tcPr>
                  <w:tcW w:w="1514" w:type="dxa"/>
                  <w:vMerge w:val="continue"/>
                  <w:noWrap w:val="0"/>
                  <w:vAlign w:val="center"/>
                </w:tcPr>
                <w:p w14:paraId="0DAD7CDE">
                  <w:pPr>
                    <w:adjustRightInd w:val="0"/>
                    <w:snapToGrid w:val="0"/>
                    <w:jc w:val="center"/>
                    <w:rPr>
                      <w:rFonts w:hint="default" w:ascii="Times New Roman" w:hAnsi="Times New Roman" w:eastAsia="宋体" w:cs="Times New Roman"/>
                      <w:color w:val="000000" w:themeColor="text1"/>
                      <w:kern w:val="0"/>
                      <w:szCs w:val="21"/>
                      <w:highlight w:val="none"/>
                      <w14:textFill>
                        <w14:solidFill>
                          <w14:schemeClr w14:val="tx1"/>
                        </w14:solidFill>
                      </w14:textFill>
                    </w:rPr>
                  </w:pPr>
                </w:p>
              </w:tc>
            </w:tr>
          </w:tbl>
          <w:p w14:paraId="6B014111">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2、运营期</w:t>
            </w:r>
          </w:p>
          <w:p w14:paraId="3764D5ED">
            <w:pPr>
              <w:spacing w:line="500" w:lineRule="exact"/>
              <w:ind w:firstLine="480" w:firstLineChars="200"/>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1</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颗粒物排放执行</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四川省水泥工业大气污染物排放标准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（DB51 2864 -2021）中大气污染物</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排放限值</w:t>
            </w:r>
            <w:r>
              <w:rPr>
                <w:rFonts w:hint="eastAsia" w:ascii="Times New Roman" w:hAnsi="Times New Roman" w:eastAsia="宋体"/>
                <w:color w:val="000000" w:themeColor="text1"/>
                <w:kern w:val="0"/>
                <w:sz w:val="24"/>
                <w:szCs w:val="24"/>
                <w:highlight w:val="none"/>
                <w14:textFill>
                  <w14:solidFill>
                    <w14:schemeClr w14:val="tx1"/>
                  </w14:solidFill>
                </w14:textFill>
              </w:rPr>
              <w:t>。</w:t>
            </w:r>
          </w:p>
          <w:p w14:paraId="76556521">
            <w:pPr>
              <w:pStyle w:val="29"/>
              <w:spacing w:line="360" w:lineRule="atLeast"/>
              <w:ind w:firstLine="422" w:firstLineChars="200"/>
              <w:rPr>
                <w:rFonts w:ascii="Times New Roman" w:hAnsi="Times New Roman" w:eastAsia="宋体" w:cs="Times New Roman"/>
                <w:b/>
                <w:bCs/>
                <w:color w:val="000000" w:themeColor="text1"/>
                <w:sz w:val="21"/>
                <w:szCs w:val="21"/>
                <w:highlight w:val="none"/>
                <w14:textFill>
                  <w14:solidFill>
                    <w14:schemeClr w14:val="tx1"/>
                  </w14:solidFill>
                </w14:textFill>
              </w:rPr>
            </w:pPr>
            <w:r>
              <w:rPr>
                <w:rFonts w:ascii="Times New Roman" w:hAnsi="Times New Roman" w:eastAsia="宋体" w:cs="Times New Roman"/>
                <w:b/>
                <w:bCs/>
                <w:color w:val="000000" w:themeColor="text1"/>
                <w:sz w:val="21"/>
                <w:szCs w:val="21"/>
                <w:highlight w:val="none"/>
                <w14:textFill>
                  <w14:solidFill>
                    <w14:schemeClr w14:val="tx1"/>
                  </w14:solidFill>
                </w14:textFill>
              </w:rPr>
              <w:t>表3-</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8</w:t>
            </w:r>
            <w:r>
              <w:rPr>
                <w:rFonts w:hint="eastAsia" w:ascii="Times New Roman" w:hAnsi="Times New Roman" w:eastAsia="宋体" w:cs="Times New Roman"/>
                <w:b/>
                <w:bCs/>
                <w:color w:val="000000" w:themeColor="text1"/>
                <w:sz w:val="21"/>
                <w:szCs w:val="21"/>
                <w:highlight w:val="none"/>
                <w14:textFill>
                  <w14:solidFill>
                    <w14:schemeClr w14:val="tx1"/>
                  </w14:solidFill>
                </w14:textFill>
              </w:rPr>
              <w:t xml:space="preserve">      </w:t>
            </w:r>
            <w:r>
              <w:rPr>
                <w:rFonts w:ascii="Times New Roman" w:hAnsi="Times New Roman" w:eastAsia="宋体" w:cs="Times New Roman"/>
                <w:b/>
                <w:bCs/>
                <w:color w:val="000000" w:themeColor="text1"/>
                <w:sz w:val="21"/>
                <w:szCs w:val="21"/>
                <w:highlight w:val="none"/>
                <w14:textFill>
                  <w14:solidFill>
                    <w14:schemeClr w14:val="tx1"/>
                  </w14:solidFill>
                </w14:textFill>
              </w:rPr>
              <w:t xml:space="preserve"> </w:t>
            </w:r>
            <w:r>
              <w:rPr>
                <w:rFonts w:hint="eastAsia" w:ascii="Times New Roman" w:hAnsi="Times New Roman" w:eastAsia="宋体" w:cs="Times New Roman"/>
                <w:b/>
                <w:bCs/>
                <w:color w:val="000000" w:themeColor="text1"/>
                <w:sz w:val="21"/>
                <w:szCs w:val="21"/>
                <w:highlight w:val="none"/>
                <w14:textFill>
                  <w14:solidFill>
                    <w14:schemeClr w14:val="tx1"/>
                  </w14:solidFill>
                </w14:textFill>
              </w:rPr>
              <w:t>《四川省水泥工业大气污染物排放标准》（DB51 2864 -2021）</w:t>
            </w:r>
            <w:r>
              <w:rPr>
                <w:rFonts w:ascii="Times New Roman" w:hAnsi="Times New Roman" w:eastAsia="宋体" w:cs="Times New Roman"/>
                <w:b/>
                <w:bCs/>
                <w:color w:val="000000" w:themeColor="text1"/>
                <w:sz w:val="21"/>
                <w:szCs w:val="21"/>
                <w:highlight w:val="none"/>
                <w14:textFill>
                  <w14:solidFill>
                    <w14:schemeClr w14:val="tx1"/>
                  </w14:solidFill>
                </w14:textFill>
              </w:rPr>
              <w:t>（摘录）</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674"/>
              <w:gridCol w:w="58"/>
              <w:gridCol w:w="1616"/>
              <w:gridCol w:w="1467"/>
              <w:gridCol w:w="2100"/>
              <w:gridCol w:w="1123"/>
            </w:tblGrid>
            <w:tr w14:paraId="6F69C6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77" w:type="pct"/>
                  <w:gridSpan w:val="2"/>
                  <w:tcBorders>
                    <w:tl2br w:val="nil"/>
                    <w:tr2bl w:val="nil"/>
                  </w:tcBorders>
                  <w:vAlign w:val="center"/>
                </w:tcPr>
                <w:p w14:paraId="612346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生产过程</w:t>
                  </w:r>
                </w:p>
              </w:tc>
              <w:tc>
                <w:tcPr>
                  <w:tcW w:w="1005" w:type="pct"/>
                  <w:tcBorders>
                    <w:tl2br w:val="nil"/>
                    <w:tr2bl w:val="nil"/>
                  </w:tcBorders>
                  <w:vAlign w:val="center"/>
                </w:tcPr>
                <w:p w14:paraId="603EBD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生产设备</w:t>
                  </w:r>
                </w:p>
              </w:tc>
              <w:tc>
                <w:tcPr>
                  <w:tcW w:w="912" w:type="pct"/>
                  <w:tcBorders>
                    <w:tl2br w:val="nil"/>
                    <w:tr2bl w:val="nil"/>
                  </w:tcBorders>
                  <w:vAlign w:val="center"/>
                </w:tcPr>
                <w:p w14:paraId="4ED03C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区域</w:t>
                  </w:r>
                </w:p>
              </w:tc>
              <w:tc>
                <w:tcPr>
                  <w:tcW w:w="2004" w:type="pct"/>
                  <w:gridSpan w:val="2"/>
                  <w:tcBorders>
                    <w:tl2br w:val="nil"/>
                    <w:tr2bl w:val="nil"/>
                  </w:tcBorders>
                  <w:vAlign w:val="center"/>
                </w:tcPr>
                <w:p w14:paraId="37BB730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大气污染物排放限值</w:t>
                  </w:r>
                </w:p>
              </w:tc>
            </w:tr>
            <w:tr w14:paraId="0AF9A9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77" w:type="pct"/>
                  <w:gridSpan w:val="2"/>
                  <w:tcBorders>
                    <w:tl2br w:val="nil"/>
                    <w:tr2bl w:val="nil"/>
                  </w:tcBorders>
                  <w:vAlign w:val="center"/>
                </w:tcPr>
                <w:p w14:paraId="180B3C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散装水泥中转站及水泥制品生产</w:t>
                  </w:r>
                </w:p>
              </w:tc>
              <w:tc>
                <w:tcPr>
                  <w:tcW w:w="1005" w:type="pct"/>
                  <w:tcBorders>
                    <w:tl2br w:val="nil"/>
                    <w:tr2bl w:val="nil"/>
                  </w:tcBorders>
                  <w:vAlign w:val="center"/>
                </w:tcPr>
                <w:p w14:paraId="482BE3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水泥仓及其他通风生产设备</w:t>
                  </w:r>
                </w:p>
              </w:tc>
              <w:tc>
                <w:tcPr>
                  <w:tcW w:w="912" w:type="pct"/>
                  <w:tcBorders>
                    <w:tl2br w:val="nil"/>
                    <w:tr2bl w:val="nil"/>
                  </w:tcBorders>
                  <w:vAlign w:val="center"/>
                </w:tcPr>
                <w:p w14:paraId="198ACCC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四川省全域</w:t>
                  </w:r>
                </w:p>
              </w:tc>
              <w:tc>
                <w:tcPr>
                  <w:tcW w:w="1306" w:type="pct"/>
                  <w:tcBorders>
                    <w:tl2br w:val="nil"/>
                    <w:tr2bl w:val="nil"/>
                  </w:tcBorders>
                  <w:vAlign w:val="center"/>
                </w:tcPr>
                <w:p w14:paraId="5A655E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val="0"/>
                      <w:bCs w:val="0"/>
                      <w:color w:val="000000" w:themeColor="text1"/>
                      <w:szCs w:val="21"/>
                      <w:highlight w:val="none"/>
                      <w:lang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eastAsia="zh-CN"/>
                      <w14:textFill>
                        <w14:solidFill>
                          <w14:schemeClr w14:val="tx1"/>
                        </w14:solidFill>
                      </w14:textFill>
                    </w:rPr>
                    <w:t>颗粒物</w:t>
                  </w:r>
                </w:p>
              </w:tc>
              <w:tc>
                <w:tcPr>
                  <w:tcW w:w="698" w:type="pct"/>
                  <w:tcBorders>
                    <w:tl2br w:val="nil"/>
                    <w:tr2bl w:val="nil"/>
                  </w:tcBorders>
                  <w:vAlign w:val="center"/>
                </w:tcPr>
                <w:p w14:paraId="7095632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val="0"/>
                      <w:bCs w:val="0"/>
                      <w:color w:val="000000" w:themeColor="text1"/>
                      <w:szCs w:val="21"/>
                      <w:highlight w:val="none"/>
                      <w:lang w:val="en-US" w:eastAsia="zh-CN"/>
                      <w14:textFill>
                        <w14:solidFill>
                          <w14:schemeClr w14:val="tx1"/>
                        </w14:solidFill>
                      </w14:textFill>
                    </w:rPr>
                  </w:pPr>
                  <w:r>
                    <w:rPr>
                      <w:rFonts w:hint="eastAsia" w:ascii="Times New Roman" w:hAnsi="Times New Roman" w:eastAsia="宋体"/>
                      <w:b w:val="0"/>
                      <w:bCs w:val="0"/>
                      <w:color w:val="000000" w:themeColor="text1"/>
                      <w:szCs w:val="21"/>
                      <w:highlight w:val="none"/>
                      <w:lang w:val="en-US" w:eastAsia="zh-CN"/>
                      <w14:textFill>
                        <w14:solidFill>
                          <w14:schemeClr w14:val="tx1"/>
                        </w14:solidFill>
                      </w14:textFill>
                    </w:rPr>
                    <w:t>10</w:t>
                  </w:r>
                  <w:r>
                    <w:rPr>
                      <w:rFonts w:ascii="Times New Roman" w:hAnsi="Times New Roman" w:eastAsia="宋体"/>
                      <w:b w:val="0"/>
                      <w:bCs w:val="0"/>
                      <w:color w:val="000000" w:themeColor="text1"/>
                      <w:szCs w:val="21"/>
                      <w:highlight w:val="none"/>
                      <w14:textFill>
                        <w14:solidFill>
                          <w14:schemeClr w14:val="tx1"/>
                        </w14:solidFill>
                      </w14:textFill>
                    </w:rPr>
                    <w:t>mg/m</w:t>
                  </w:r>
                  <w:r>
                    <w:rPr>
                      <w:rFonts w:hint="eastAsia" w:ascii="Times New Roman" w:hAnsi="Times New Roman" w:eastAsia="宋体"/>
                      <w:b w:val="0"/>
                      <w:bCs w:val="0"/>
                      <w:color w:val="000000" w:themeColor="text1"/>
                      <w:szCs w:val="21"/>
                      <w:highlight w:val="none"/>
                      <w:vertAlign w:val="superscript"/>
                      <w14:textFill>
                        <w14:solidFill>
                          <w14:schemeClr w14:val="tx1"/>
                        </w14:solidFill>
                      </w14:textFill>
                    </w:rPr>
                    <w:t>3</w:t>
                  </w:r>
                </w:p>
              </w:tc>
            </w:tr>
            <w:tr w14:paraId="70164E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82" w:type="pct"/>
                  <w:gridSpan w:val="3"/>
                  <w:tcBorders>
                    <w:tl2br w:val="nil"/>
                    <w:tr2bl w:val="nil"/>
                  </w:tcBorders>
                  <w:vAlign w:val="center"/>
                </w:tcPr>
                <w:p w14:paraId="2F84FA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污染物项目</w:t>
                  </w:r>
                </w:p>
              </w:tc>
              <w:tc>
                <w:tcPr>
                  <w:tcW w:w="912" w:type="pct"/>
                  <w:tcBorders>
                    <w:tl2br w:val="nil"/>
                    <w:tr2bl w:val="nil"/>
                  </w:tcBorders>
                  <w:vAlign w:val="center"/>
                </w:tcPr>
                <w:p w14:paraId="4E0840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区域</w:t>
                  </w:r>
                </w:p>
              </w:tc>
              <w:tc>
                <w:tcPr>
                  <w:tcW w:w="2004" w:type="pct"/>
                  <w:gridSpan w:val="2"/>
                  <w:tcBorders>
                    <w:tl2br w:val="nil"/>
                    <w:tr2bl w:val="nil"/>
                  </w:tcBorders>
                  <w:vAlign w:val="center"/>
                </w:tcPr>
                <w:p w14:paraId="519304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企业边界大气污染物浓度限值</w:t>
                  </w:r>
                </w:p>
              </w:tc>
            </w:tr>
            <w:tr w14:paraId="3EF2C4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82" w:type="pct"/>
                  <w:gridSpan w:val="3"/>
                  <w:tcBorders>
                    <w:tl2br w:val="nil"/>
                    <w:tr2bl w:val="nil"/>
                  </w:tcBorders>
                  <w:vAlign w:val="center"/>
                </w:tcPr>
                <w:p w14:paraId="5CE811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颗粒物</w:t>
                  </w:r>
                </w:p>
              </w:tc>
              <w:tc>
                <w:tcPr>
                  <w:tcW w:w="912" w:type="pct"/>
                  <w:tcBorders>
                    <w:tl2br w:val="nil"/>
                    <w:tr2bl w:val="nil"/>
                  </w:tcBorders>
                  <w:vAlign w:val="center"/>
                </w:tcPr>
                <w:p w14:paraId="1EAF92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遂宁市</w:t>
                  </w:r>
                </w:p>
              </w:tc>
              <w:tc>
                <w:tcPr>
                  <w:tcW w:w="2004" w:type="pct"/>
                  <w:gridSpan w:val="2"/>
                  <w:tcBorders>
                    <w:tl2br w:val="nil"/>
                    <w:tr2bl w:val="nil"/>
                  </w:tcBorders>
                  <w:vAlign w:val="center"/>
                </w:tcPr>
                <w:p w14:paraId="60594B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0.3</w:t>
                  </w:r>
                  <w:r>
                    <w:rPr>
                      <w:rFonts w:ascii="Times New Roman" w:hAnsi="Times New Roman" w:eastAsia="宋体"/>
                      <w:b w:val="0"/>
                      <w:bCs w:val="0"/>
                      <w:color w:val="000000" w:themeColor="text1"/>
                      <w:szCs w:val="21"/>
                      <w:highlight w:val="none"/>
                      <w14:textFill>
                        <w14:solidFill>
                          <w14:schemeClr w14:val="tx1"/>
                        </w14:solidFill>
                      </w14:textFill>
                    </w:rPr>
                    <w:t>mg/m</w:t>
                  </w:r>
                  <w:r>
                    <w:rPr>
                      <w:rFonts w:hint="eastAsia" w:ascii="Times New Roman" w:hAnsi="Times New Roman" w:eastAsia="宋体"/>
                      <w:b w:val="0"/>
                      <w:bCs w:val="0"/>
                      <w:color w:val="000000" w:themeColor="text1"/>
                      <w:szCs w:val="21"/>
                      <w:highlight w:val="none"/>
                      <w:vertAlign w:val="superscript"/>
                      <w14:textFill>
                        <w14:solidFill>
                          <w14:schemeClr w14:val="tx1"/>
                        </w14:solidFill>
                      </w14:textFill>
                    </w:rPr>
                    <w:t>3</w:t>
                  </w:r>
                </w:p>
              </w:tc>
            </w:tr>
            <w:tr w14:paraId="7CDA31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41" w:type="pct"/>
                  <w:tcBorders>
                    <w:tl2br w:val="nil"/>
                    <w:tr2bl w:val="nil"/>
                  </w:tcBorders>
                  <w:vAlign w:val="center"/>
                </w:tcPr>
                <w:p w14:paraId="076EE22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污染物项目</w:t>
                  </w:r>
                </w:p>
              </w:tc>
              <w:tc>
                <w:tcPr>
                  <w:tcW w:w="1041" w:type="pct"/>
                  <w:gridSpan w:val="2"/>
                  <w:tcBorders>
                    <w:tl2br w:val="nil"/>
                    <w:tr2bl w:val="nil"/>
                  </w:tcBorders>
                  <w:vAlign w:val="center"/>
                </w:tcPr>
                <w:p w14:paraId="2F71C9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无组织排放监控位置</w:t>
                  </w:r>
                </w:p>
              </w:tc>
              <w:tc>
                <w:tcPr>
                  <w:tcW w:w="912" w:type="pct"/>
                  <w:tcBorders>
                    <w:tl2br w:val="nil"/>
                    <w:tr2bl w:val="nil"/>
                  </w:tcBorders>
                  <w:vAlign w:val="center"/>
                </w:tcPr>
                <w:p w14:paraId="6D9B922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eastAsia="zh-CN"/>
                      <w14:textFill>
                        <w14:solidFill>
                          <w14:schemeClr w14:val="tx1"/>
                        </w14:solidFill>
                      </w14:textFill>
                    </w:rPr>
                  </w:pPr>
                  <w:r>
                    <w:rPr>
                      <w:rFonts w:hint="eastAsia" w:ascii="Times New Roman" w:hAnsi="Times New Roman" w:eastAsia="宋体"/>
                      <w:b/>
                      <w:bCs/>
                      <w:color w:val="000000" w:themeColor="text1"/>
                      <w:szCs w:val="21"/>
                      <w:highlight w:val="none"/>
                      <w:lang w:eastAsia="zh-CN"/>
                      <w14:textFill>
                        <w14:solidFill>
                          <w14:schemeClr w14:val="tx1"/>
                        </w14:solidFill>
                      </w14:textFill>
                    </w:rPr>
                    <w:t>限值含义</w:t>
                  </w:r>
                </w:p>
              </w:tc>
              <w:tc>
                <w:tcPr>
                  <w:tcW w:w="2004" w:type="pct"/>
                  <w:gridSpan w:val="2"/>
                  <w:tcBorders>
                    <w:tl2br w:val="nil"/>
                    <w:tr2bl w:val="nil"/>
                  </w:tcBorders>
                  <w:vAlign w:val="center"/>
                </w:tcPr>
                <w:p w14:paraId="6D4685C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Cs w:val="21"/>
                      <w:highlight w:val="none"/>
                      <w:lang w:val="en-US" w:eastAsia="zh-CN"/>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14:textFill>
                        <w14:solidFill>
                          <w14:schemeClr w14:val="tx1"/>
                        </w14:solidFill>
                      </w14:textFill>
                    </w:rPr>
                    <w:t>厂区内颗粒物无组织排放限值</w:t>
                  </w:r>
                </w:p>
              </w:tc>
            </w:tr>
            <w:tr w14:paraId="5026D2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041" w:type="pct"/>
                  <w:tcBorders>
                    <w:tl2br w:val="nil"/>
                    <w:tr2bl w:val="nil"/>
                  </w:tcBorders>
                  <w:vAlign w:val="center"/>
                </w:tcPr>
                <w:p w14:paraId="4DF764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颗粒物</w:t>
                  </w:r>
                </w:p>
              </w:tc>
              <w:tc>
                <w:tcPr>
                  <w:tcW w:w="1041" w:type="pct"/>
                  <w:gridSpan w:val="2"/>
                  <w:tcBorders>
                    <w:tl2br w:val="nil"/>
                    <w:tr2bl w:val="nil"/>
                  </w:tcBorders>
                  <w:vAlign w:val="center"/>
                </w:tcPr>
                <w:p w14:paraId="7CB669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在厂房外设置监控点</w:t>
                  </w:r>
                </w:p>
              </w:tc>
              <w:tc>
                <w:tcPr>
                  <w:tcW w:w="912" w:type="pct"/>
                  <w:tcBorders>
                    <w:tl2br w:val="nil"/>
                    <w:tr2bl w:val="nil"/>
                  </w:tcBorders>
                  <w:vAlign w:val="center"/>
                </w:tcPr>
                <w:p w14:paraId="28EEF0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监控点处1h平均浓度值</w:t>
                  </w:r>
                </w:p>
              </w:tc>
              <w:tc>
                <w:tcPr>
                  <w:tcW w:w="2004" w:type="pct"/>
                  <w:gridSpan w:val="2"/>
                  <w:tcBorders>
                    <w:tl2br w:val="nil"/>
                    <w:tr2bl w:val="nil"/>
                  </w:tcBorders>
                  <w:vAlign w:val="center"/>
                </w:tcPr>
                <w:p w14:paraId="6ACD2E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w:t>
                  </w:r>
                </w:p>
              </w:tc>
            </w:tr>
          </w:tbl>
          <w:p w14:paraId="706104AF">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right="0" w:firstLine="480" w:firstLineChars="200"/>
              <w:jc w:val="both"/>
              <w:textAlignment w:val="auto"/>
              <w:rPr>
                <w:rFonts w:hint="default" w:ascii="Times New Roman" w:hAnsi="Times New Roman" w:eastAsia="宋体" w:cs="Times New Roman"/>
                <w:b/>
                <w:bCs/>
                <w:color w:val="000000" w:themeColor="text1"/>
                <w:kern w:val="0"/>
                <w:sz w:val="24"/>
                <w:szCs w:val="22"/>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4"/>
                <w:szCs w:val="22"/>
                <w:highlight w:val="none"/>
                <w:lang w:val="en-US" w:eastAsia="zh-CN" w:bidi="ar-SA"/>
                <w14:textFill>
                  <w14:solidFill>
                    <w14:schemeClr w14:val="tx1"/>
                  </w14:solidFill>
                </w14:textFill>
              </w:rPr>
              <w:t>（2）</w:t>
            </w:r>
            <w:r>
              <w:rPr>
                <w:rFonts w:hint="default" w:ascii="Times New Roman" w:hAnsi="Times New Roman" w:eastAsia="宋体" w:cs="Times New Roman"/>
                <w:b w:val="0"/>
                <w:bCs w:val="0"/>
                <w:color w:val="000000" w:themeColor="text1"/>
                <w:kern w:val="0"/>
                <w:sz w:val="24"/>
                <w:szCs w:val="22"/>
                <w:highlight w:val="none"/>
                <w:lang w:val="en-US" w:eastAsia="zh-CN" w:bidi="ar-SA"/>
                <w14:textFill>
                  <w14:solidFill>
                    <w14:schemeClr w14:val="tx1"/>
                  </w14:solidFill>
                </w14:textFill>
              </w:rPr>
              <w:t>食堂油烟执行</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《饮食业油烟排放标准（试行）》（GB18483-2001）中标准限值要求。</w:t>
            </w:r>
          </w:p>
          <w:p w14:paraId="1BF99D88">
            <w:pPr>
              <w:autoSpaceDE w:val="0"/>
              <w:autoSpaceDN w:val="0"/>
              <w:adjustRightInd w:val="0"/>
              <w:snapToGrid w:val="0"/>
              <w:spacing w:line="240" w:lineRule="auto"/>
              <w:ind w:firstLine="0" w:firstLineChars="0"/>
              <w:jc w:val="cente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表</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3-</w:t>
            </w:r>
            <w:r>
              <w:rPr>
                <w:rFonts w:hint="eastAsia"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9</w:t>
            </w:r>
            <w:r>
              <w:rPr>
                <w:rFonts w:hint="default" w:ascii="Times New Roman" w:hAnsi="Times New Roman" w:eastAsia="宋体" w:cs="Times New Roman"/>
                <w:b/>
                <w:color w:val="000000" w:themeColor="text1"/>
                <w:kern w:val="0"/>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饮食业油烟排放标准 （mg/m</w:t>
            </w:r>
            <w:r>
              <w:rPr>
                <w:rFonts w:hint="default" w:ascii="Times New Roman" w:hAnsi="Times New Roman" w:eastAsia="宋体" w:cs="Times New Roman"/>
                <w:b/>
                <w:color w:val="000000" w:themeColor="text1"/>
                <w:kern w:val="0"/>
                <w:sz w:val="21"/>
                <w:szCs w:val="21"/>
                <w:highlight w:val="none"/>
                <w:vertAlign w:val="superscript"/>
                <w14:textFill>
                  <w14:solidFill>
                    <w14:schemeClr w14:val="tx1"/>
                  </w14:solidFill>
                </w14:textFill>
              </w:rPr>
              <w:t>3</w:t>
            </w: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504"/>
              <w:gridCol w:w="1845"/>
              <w:gridCol w:w="1845"/>
              <w:gridCol w:w="1846"/>
            </w:tblGrid>
            <w:tr w14:paraId="3354AF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475" w:type="dxa"/>
                  <w:noWrap w:val="0"/>
                  <w:vAlign w:val="center"/>
                </w:tcPr>
                <w:p w14:paraId="3B7113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5" w:name="_Toc5216"/>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规模</w:t>
                  </w:r>
                  <w:bookmarkEnd w:id="5"/>
                </w:p>
              </w:tc>
              <w:tc>
                <w:tcPr>
                  <w:tcW w:w="1824" w:type="dxa"/>
                  <w:noWrap w:val="0"/>
                  <w:vAlign w:val="center"/>
                </w:tcPr>
                <w:p w14:paraId="42C160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6" w:name="_Toc25739"/>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小型</w:t>
                  </w:r>
                  <w:bookmarkEnd w:id="6"/>
                </w:p>
              </w:tc>
              <w:tc>
                <w:tcPr>
                  <w:tcW w:w="1824" w:type="dxa"/>
                  <w:noWrap w:val="0"/>
                  <w:vAlign w:val="center"/>
                </w:tcPr>
                <w:p w14:paraId="0AB8906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7" w:name="_Toc7990"/>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中型</w:t>
                  </w:r>
                  <w:bookmarkEnd w:id="7"/>
                </w:p>
              </w:tc>
              <w:tc>
                <w:tcPr>
                  <w:tcW w:w="1824" w:type="dxa"/>
                  <w:noWrap w:val="0"/>
                  <w:vAlign w:val="center"/>
                </w:tcPr>
                <w:p w14:paraId="5C7B8B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bookmarkStart w:id="8" w:name="_Toc19618"/>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大型</w:t>
                  </w:r>
                  <w:bookmarkEnd w:id="8"/>
                </w:p>
              </w:tc>
            </w:tr>
            <w:tr w14:paraId="749F19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475" w:type="dxa"/>
                  <w:noWrap w:val="0"/>
                  <w:vAlign w:val="center"/>
                </w:tcPr>
                <w:p w14:paraId="52DE63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9" w:name="_Toc20289"/>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最高允许排放浓度</w:t>
                  </w:r>
                  <w:bookmarkEnd w:id="9"/>
                </w:p>
              </w:tc>
              <w:tc>
                <w:tcPr>
                  <w:tcW w:w="5472" w:type="dxa"/>
                  <w:gridSpan w:val="3"/>
                  <w:noWrap w:val="0"/>
                  <w:vAlign w:val="center"/>
                </w:tcPr>
                <w:p w14:paraId="39BAF9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0" w:name="_Toc32046"/>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w:t>
                  </w:r>
                  <w:bookmarkEnd w:id="10"/>
                </w:p>
              </w:tc>
            </w:tr>
            <w:tr w14:paraId="0094BF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475" w:type="dxa"/>
                  <w:noWrap w:val="0"/>
                  <w:vAlign w:val="center"/>
                </w:tcPr>
                <w:p w14:paraId="6C43E03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1" w:name="_Toc3776"/>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净化设施最低去除效率</w:t>
                  </w:r>
                  <w:bookmarkEnd w:id="11"/>
                </w:p>
              </w:tc>
              <w:tc>
                <w:tcPr>
                  <w:tcW w:w="1824" w:type="dxa"/>
                  <w:noWrap w:val="0"/>
                  <w:vAlign w:val="center"/>
                </w:tcPr>
                <w:p w14:paraId="45BF008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2" w:name="_Toc4588"/>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60%</w:t>
                  </w:r>
                  <w:bookmarkEnd w:id="12"/>
                </w:p>
              </w:tc>
              <w:tc>
                <w:tcPr>
                  <w:tcW w:w="1824" w:type="dxa"/>
                  <w:noWrap w:val="0"/>
                  <w:vAlign w:val="center"/>
                </w:tcPr>
                <w:p w14:paraId="1DF935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3" w:name="_Toc751"/>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75%</w:t>
                  </w:r>
                  <w:bookmarkEnd w:id="13"/>
                </w:p>
              </w:tc>
              <w:tc>
                <w:tcPr>
                  <w:tcW w:w="1824" w:type="dxa"/>
                  <w:noWrap w:val="0"/>
                  <w:vAlign w:val="center"/>
                </w:tcPr>
                <w:p w14:paraId="5711B4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bookmarkStart w:id="14" w:name="_Toc6593"/>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85%</w:t>
                  </w:r>
                  <w:bookmarkEnd w:id="14"/>
                </w:p>
              </w:tc>
            </w:tr>
          </w:tbl>
          <w:p w14:paraId="3CB7C018">
            <w:pPr>
              <w:spacing w:line="500" w:lineRule="exact"/>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二、水污染物</w:t>
            </w:r>
          </w:p>
          <w:p w14:paraId="1EF016A3">
            <w:pPr>
              <w:spacing w:line="360" w:lineRule="auto"/>
              <w:ind w:firstLine="482"/>
              <w:rPr>
                <w:rFonts w:ascii="Times New Roman" w:hAnsi="Times New Roman" w:eastAsia="宋体" w:cs="Times New Roman"/>
                <w:b/>
                <w:color w:val="000000" w:themeColor="text1"/>
                <w:kern w:val="0"/>
                <w:sz w:val="24"/>
                <w:szCs w:val="22"/>
                <w:highlight w:val="none"/>
                <w14:textFill>
                  <w14:solidFill>
                    <w14:schemeClr w14:val="tx1"/>
                  </w14:solidFill>
                </w14:textFill>
              </w:rPr>
            </w:pPr>
            <w:r>
              <w:rPr>
                <w:rFonts w:hint="eastAsia" w:ascii="Times New Roman" w:hAnsi="Times New Roman" w:eastAsia="宋体" w:cs="Times New Roman"/>
                <w:color w:val="000000" w:themeColor="text1"/>
                <w:kern w:val="0"/>
                <w:sz w:val="24"/>
                <w:szCs w:val="22"/>
                <w:highlight w:val="none"/>
                <w14:textFill>
                  <w14:solidFill>
                    <w14:schemeClr w14:val="tx1"/>
                  </w14:solidFill>
                </w14:textFill>
              </w:rPr>
              <w:t>本项目</w:t>
            </w:r>
            <w:r>
              <w:rPr>
                <w:rFonts w:hint="eastAsia" w:ascii="Times New Roman" w:hAnsi="Times New Roman" w:eastAsia="宋体" w:cs="Times New Roman"/>
                <w:color w:val="000000" w:themeColor="text1"/>
                <w:kern w:val="0"/>
                <w:sz w:val="24"/>
                <w:szCs w:val="22"/>
                <w:highlight w:val="none"/>
                <w:lang w:eastAsia="zh-CN"/>
                <w14:textFill>
                  <w14:solidFill>
                    <w14:schemeClr w14:val="tx1"/>
                  </w14:solidFill>
                </w14:textFill>
              </w:rPr>
              <w:t>生活污水</w:t>
            </w:r>
            <w:r>
              <w:rPr>
                <w:rFonts w:hint="eastAsia" w:ascii="Times New Roman" w:hAnsi="Times New Roman" w:eastAsia="宋体" w:cs="Times New Roman"/>
                <w:color w:val="000000" w:themeColor="text1"/>
                <w:kern w:val="0"/>
                <w:sz w:val="24"/>
                <w:szCs w:val="22"/>
                <w:highlight w:val="none"/>
                <w14:textFill>
                  <w14:solidFill>
                    <w14:schemeClr w14:val="tx1"/>
                  </w14:solidFill>
                </w14:textFill>
              </w:rPr>
              <w:t>排口</w:t>
            </w:r>
            <w:r>
              <w:rPr>
                <w:rFonts w:ascii="Times New Roman" w:hAnsi="Times New Roman" w:eastAsia="宋体" w:cs="Times New Roman"/>
                <w:color w:val="000000" w:themeColor="text1"/>
                <w:kern w:val="0"/>
                <w:sz w:val="24"/>
                <w:szCs w:val="22"/>
                <w:highlight w:val="none"/>
                <w14:textFill>
                  <w14:solidFill>
                    <w14:schemeClr w14:val="tx1"/>
                  </w14:solidFill>
                </w14:textFill>
              </w:rPr>
              <w:t>执行《污水综合排放标准》（GB8978-1996）中的三级标准，相关的污染物排放限值见表</w:t>
            </w:r>
            <w:r>
              <w:rPr>
                <w:rFonts w:hint="eastAsia" w:ascii="Times New Roman" w:hAnsi="Times New Roman" w:eastAsia="宋体" w:cs="Times New Roman"/>
                <w:color w:val="000000" w:themeColor="text1"/>
                <w:kern w:val="0"/>
                <w:sz w:val="24"/>
                <w:szCs w:val="22"/>
                <w:highlight w:val="none"/>
                <w14:textFill>
                  <w14:solidFill>
                    <w14:schemeClr w14:val="tx1"/>
                  </w14:solidFill>
                </w14:textFill>
              </w:rPr>
              <w:t>3-</w:t>
            </w:r>
            <w:r>
              <w:rPr>
                <w:rFonts w:hint="eastAsia" w:ascii="Times New Roman" w:hAnsi="Times New Roman" w:eastAsia="宋体" w:cs="Times New Roman"/>
                <w:color w:val="000000" w:themeColor="text1"/>
                <w:kern w:val="0"/>
                <w:sz w:val="24"/>
                <w:szCs w:val="22"/>
                <w:highlight w:val="none"/>
                <w:lang w:val="en-US" w:eastAsia="zh-CN"/>
                <w14:textFill>
                  <w14:solidFill>
                    <w14:schemeClr w14:val="tx1"/>
                  </w14:solidFill>
                </w14:textFill>
              </w:rPr>
              <w:t>10</w:t>
            </w:r>
            <w:r>
              <w:rPr>
                <w:rFonts w:ascii="Times New Roman" w:hAnsi="Times New Roman" w:eastAsia="宋体" w:cs="Times New Roman"/>
                <w:color w:val="000000" w:themeColor="text1"/>
                <w:kern w:val="0"/>
                <w:sz w:val="24"/>
                <w:szCs w:val="22"/>
                <w:highlight w:val="none"/>
                <w14:textFill>
                  <w14:solidFill>
                    <w14:schemeClr w14:val="tx1"/>
                  </w14:solidFill>
                </w14:textFill>
              </w:rPr>
              <w:t>。</w:t>
            </w:r>
          </w:p>
          <w:p w14:paraId="4873F1A6">
            <w:pPr>
              <w:ind w:left="465" w:firstLine="422"/>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表</w:t>
            </w:r>
            <w:r>
              <w:rPr>
                <w:rFonts w:hint="eastAsia" w:ascii="Times New Roman" w:hAnsi="Times New Roman" w:eastAsia="宋体" w:cs="Times New Roman"/>
                <w:b/>
                <w:bCs/>
                <w:color w:val="000000" w:themeColor="text1"/>
                <w:szCs w:val="21"/>
                <w:highlight w:val="none"/>
                <w14:textFill>
                  <w14:solidFill>
                    <w14:schemeClr w14:val="tx1"/>
                  </w14:solidFill>
                </w14:textFill>
              </w:rPr>
              <w:t>3-</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10</w:t>
            </w:r>
            <w:r>
              <w:rPr>
                <w:rFonts w:ascii="Times New Roman" w:hAnsi="Times New Roman" w:eastAsia="宋体" w:cs="Times New Roman"/>
                <w:b/>
                <w:bCs/>
                <w:color w:val="000000" w:themeColor="text1"/>
                <w:szCs w:val="21"/>
                <w:highlight w:val="none"/>
                <w14:textFill>
                  <w14:solidFill>
                    <w14:schemeClr w14:val="tx1"/>
                  </w14:solidFill>
                </w14:textFill>
              </w:rPr>
              <w:t xml:space="preserve">   </w:t>
            </w:r>
            <w:r>
              <w:rPr>
                <w:rFonts w:ascii="Times New Roman" w:hAnsi="Times New Roman" w:eastAsia="宋体" w:cs="Times New Roman"/>
                <w:b/>
                <w:color w:val="000000" w:themeColor="text1"/>
                <w:kern w:val="0"/>
                <w:szCs w:val="21"/>
                <w:highlight w:val="none"/>
                <w14:textFill>
                  <w14:solidFill>
                    <w14:schemeClr w14:val="tx1"/>
                  </w14:solidFill>
                </w14:textFill>
              </w:rPr>
              <w:t xml:space="preserve"> </w:t>
            </w:r>
            <w:r>
              <w:rPr>
                <w:rFonts w:ascii="Times New Roman" w:hAnsi="Times New Roman" w:eastAsia="宋体" w:cs="Times New Roman"/>
                <w:b/>
                <w:color w:val="000000" w:themeColor="text1"/>
                <w:szCs w:val="21"/>
                <w:highlight w:val="none"/>
                <w14:textFill>
                  <w14:solidFill>
                    <w14:schemeClr w14:val="tx1"/>
                  </w14:solidFill>
                </w14:textFill>
              </w:rPr>
              <w:t xml:space="preserve">《污水综合排放标准》（GB8978-1996）（摘录）  </w:t>
            </w:r>
            <w:r>
              <w:rPr>
                <w:rFonts w:ascii="Times New Roman" w:hAnsi="Times New Roman" w:eastAsia="宋体" w:cs="Times New Roman"/>
                <w:b/>
                <w:color w:val="000000" w:themeColor="text1"/>
                <w:szCs w:val="21"/>
                <w:highlight w:val="none"/>
                <w:lang w:val="zh-CN"/>
                <w14:textFill>
                  <w14:solidFill>
                    <w14:schemeClr w14:val="tx1"/>
                  </w14:solidFill>
                </w14:textFill>
              </w:rPr>
              <w:t>单位：mg/L</w:t>
            </w:r>
          </w:p>
          <w:tbl>
            <w:tblPr>
              <w:tblStyle w:val="20"/>
              <w:tblW w:w="5000" w:type="pct"/>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968"/>
              <w:gridCol w:w="921"/>
              <w:gridCol w:w="790"/>
              <w:gridCol w:w="1182"/>
              <w:gridCol w:w="922"/>
              <w:gridCol w:w="903"/>
              <w:gridCol w:w="2355"/>
            </w:tblGrid>
            <w:tr w14:paraId="216A6DA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blHeader/>
              </w:trPr>
              <w:tc>
                <w:tcPr>
                  <w:tcW w:w="1043" w:type="dxa"/>
                  <w:tcBorders>
                    <w:top w:val="single" w:color="auto" w:sz="12" w:space="0"/>
                  </w:tcBorders>
                  <w:vAlign w:val="center"/>
                </w:tcPr>
                <w:p w14:paraId="4F64E8F0">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控制项目</w:t>
                  </w:r>
                </w:p>
              </w:tc>
              <w:tc>
                <w:tcPr>
                  <w:tcW w:w="992" w:type="dxa"/>
                  <w:tcBorders>
                    <w:top w:val="single" w:color="auto" w:sz="12" w:space="0"/>
                  </w:tcBorders>
                  <w:vAlign w:val="center"/>
                </w:tcPr>
                <w:p w14:paraId="739C948D">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单位</w:t>
                  </w:r>
                </w:p>
              </w:tc>
              <w:tc>
                <w:tcPr>
                  <w:tcW w:w="851" w:type="dxa"/>
                  <w:tcBorders>
                    <w:top w:val="single" w:color="auto" w:sz="12" w:space="0"/>
                  </w:tcBorders>
                  <w:vAlign w:val="center"/>
                </w:tcPr>
                <w:p w14:paraId="73FB8CC6">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标准</w:t>
                  </w:r>
                </w:p>
              </w:tc>
              <w:tc>
                <w:tcPr>
                  <w:tcW w:w="1275" w:type="dxa"/>
                  <w:tcBorders>
                    <w:top w:val="single" w:color="auto" w:sz="12" w:space="0"/>
                  </w:tcBorders>
                  <w:vAlign w:val="center"/>
                </w:tcPr>
                <w:p w14:paraId="3ECB9491">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控制项目</w:t>
                  </w:r>
                </w:p>
              </w:tc>
              <w:tc>
                <w:tcPr>
                  <w:tcW w:w="993" w:type="dxa"/>
                  <w:tcBorders>
                    <w:top w:val="single" w:color="auto" w:sz="12" w:space="0"/>
                  </w:tcBorders>
                  <w:vAlign w:val="center"/>
                </w:tcPr>
                <w:p w14:paraId="063BE4E6">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单位</w:t>
                  </w:r>
                </w:p>
              </w:tc>
              <w:tc>
                <w:tcPr>
                  <w:tcW w:w="973" w:type="dxa"/>
                  <w:tcBorders>
                    <w:top w:val="single" w:color="auto" w:sz="12" w:space="0"/>
                  </w:tcBorders>
                  <w:vAlign w:val="center"/>
                </w:tcPr>
                <w:p w14:paraId="60B46194">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标准</w:t>
                  </w:r>
                </w:p>
              </w:tc>
              <w:tc>
                <w:tcPr>
                  <w:tcW w:w="2547" w:type="dxa"/>
                  <w:tcBorders>
                    <w:top w:val="single" w:color="auto" w:sz="12" w:space="0"/>
                  </w:tcBorders>
                  <w:vAlign w:val="center"/>
                </w:tcPr>
                <w:p w14:paraId="0D63546B">
                  <w:pPr>
                    <w:autoSpaceDE w:val="0"/>
                    <w:autoSpaceDN w:val="0"/>
                    <w:adjustRightInd w:val="0"/>
                    <w:snapToGrid w:val="0"/>
                    <w:jc w:val="center"/>
                    <w:textAlignment w:val="bottom"/>
                    <w:rPr>
                      <w:rFonts w:ascii="Times New Roman" w:hAnsi="Times New Roman" w:eastAsia="宋体" w:cs="Times New Roman"/>
                      <w:b/>
                      <w:color w:val="000000" w:themeColor="text1"/>
                      <w:kern w:val="0"/>
                      <w:szCs w:val="21"/>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依据</w:t>
                  </w:r>
                </w:p>
              </w:tc>
            </w:tr>
            <w:tr w14:paraId="39D67CD0">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56182C6C">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pH</w:t>
                  </w:r>
                </w:p>
              </w:tc>
              <w:tc>
                <w:tcPr>
                  <w:tcW w:w="992" w:type="dxa"/>
                  <w:vAlign w:val="center"/>
                </w:tcPr>
                <w:p w14:paraId="5CA8A8B4">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无量纲</w:t>
                  </w:r>
                </w:p>
              </w:tc>
              <w:tc>
                <w:tcPr>
                  <w:tcW w:w="851" w:type="dxa"/>
                  <w:vAlign w:val="center"/>
                </w:tcPr>
                <w:p w14:paraId="19A773D9">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6-9</w:t>
                  </w:r>
                </w:p>
              </w:tc>
              <w:tc>
                <w:tcPr>
                  <w:tcW w:w="1275" w:type="dxa"/>
                  <w:vAlign w:val="center"/>
                </w:tcPr>
                <w:p w14:paraId="305FACCD">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NH</w:t>
                  </w:r>
                  <w:r>
                    <w:rPr>
                      <w:rFonts w:ascii="Times New Roman" w:hAnsi="Times New Roman" w:eastAsia="宋体" w:cs="Times New Roman"/>
                      <w:color w:val="000000" w:themeColor="text1"/>
                      <w:kern w:val="0"/>
                      <w:szCs w:val="21"/>
                      <w:highlight w:val="none"/>
                      <w:vertAlign w:val="subscript"/>
                      <w14:textFill>
                        <w14:solidFill>
                          <w14:schemeClr w14:val="tx1"/>
                        </w14:solidFill>
                      </w14:textFill>
                    </w:rPr>
                    <w:t>3</w:t>
                  </w:r>
                  <w:r>
                    <w:rPr>
                      <w:rFonts w:ascii="Times New Roman" w:hAnsi="Times New Roman" w:eastAsia="宋体" w:cs="Times New Roman"/>
                      <w:color w:val="000000" w:themeColor="text1"/>
                      <w:kern w:val="0"/>
                      <w:szCs w:val="21"/>
                      <w:highlight w:val="none"/>
                      <w14:textFill>
                        <w14:solidFill>
                          <w14:schemeClr w14:val="tx1"/>
                        </w14:solidFill>
                      </w14:textFill>
                    </w:rPr>
                    <w:t>-N</w:t>
                  </w:r>
                </w:p>
              </w:tc>
              <w:tc>
                <w:tcPr>
                  <w:tcW w:w="993" w:type="dxa"/>
                  <w:vAlign w:val="center"/>
                </w:tcPr>
                <w:p w14:paraId="1A8F2164">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431C97B3">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45</w:t>
                  </w:r>
                </w:p>
              </w:tc>
              <w:tc>
                <w:tcPr>
                  <w:tcW w:w="2547" w:type="dxa"/>
                  <w:vMerge w:val="restart"/>
                  <w:vAlign w:val="center"/>
                </w:tcPr>
                <w:p w14:paraId="7A25333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《污水综合排放标准》（GB8978-1996）中</w:t>
                  </w:r>
                </w:p>
                <w:p w14:paraId="489D0B77">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三级标准</w:t>
                  </w:r>
                </w:p>
              </w:tc>
            </w:tr>
            <w:tr w14:paraId="137F9A49">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6775997F">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SS</w:t>
                  </w:r>
                </w:p>
              </w:tc>
              <w:tc>
                <w:tcPr>
                  <w:tcW w:w="992" w:type="dxa"/>
                  <w:vAlign w:val="center"/>
                </w:tcPr>
                <w:p w14:paraId="4339FAAE">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851" w:type="dxa"/>
                  <w:vAlign w:val="center"/>
                </w:tcPr>
                <w:p w14:paraId="247203C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400</w:t>
                  </w:r>
                </w:p>
              </w:tc>
              <w:tc>
                <w:tcPr>
                  <w:tcW w:w="1275" w:type="dxa"/>
                  <w:vAlign w:val="center"/>
                </w:tcPr>
                <w:p w14:paraId="6C4C2DED">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总磷</w:t>
                  </w:r>
                </w:p>
              </w:tc>
              <w:tc>
                <w:tcPr>
                  <w:tcW w:w="993" w:type="dxa"/>
                  <w:vAlign w:val="center"/>
                </w:tcPr>
                <w:p w14:paraId="2330A5BE">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4CD6EFE5">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8</w:t>
                  </w:r>
                </w:p>
              </w:tc>
              <w:tc>
                <w:tcPr>
                  <w:tcW w:w="2547" w:type="dxa"/>
                  <w:vMerge w:val="continue"/>
                  <w:vAlign w:val="center"/>
                </w:tcPr>
                <w:p w14:paraId="36E92FBF">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p>
              </w:tc>
            </w:tr>
            <w:tr w14:paraId="238B9D2C">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21C39D3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COD</w:t>
                  </w:r>
                  <w:r>
                    <w:rPr>
                      <w:rFonts w:ascii="Times New Roman" w:hAnsi="Times New Roman" w:eastAsia="宋体" w:cs="Times New Roman"/>
                      <w:color w:val="000000" w:themeColor="text1"/>
                      <w:kern w:val="0"/>
                      <w:szCs w:val="21"/>
                      <w:highlight w:val="none"/>
                      <w:vertAlign w:val="subscript"/>
                      <w14:textFill>
                        <w14:solidFill>
                          <w14:schemeClr w14:val="tx1"/>
                        </w14:solidFill>
                      </w14:textFill>
                    </w:rPr>
                    <w:t>Cr</w:t>
                  </w:r>
                </w:p>
              </w:tc>
              <w:tc>
                <w:tcPr>
                  <w:tcW w:w="992" w:type="dxa"/>
                  <w:vAlign w:val="center"/>
                </w:tcPr>
                <w:p w14:paraId="3AF0D124">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851" w:type="dxa"/>
                  <w:vAlign w:val="center"/>
                </w:tcPr>
                <w:p w14:paraId="5CEF6205">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500</w:t>
                  </w:r>
                </w:p>
              </w:tc>
              <w:tc>
                <w:tcPr>
                  <w:tcW w:w="1275" w:type="dxa"/>
                  <w:vAlign w:val="center"/>
                </w:tcPr>
                <w:p w14:paraId="3705A425">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动植物油</w:t>
                  </w:r>
                </w:p>
              </w:tc>
              <w:tc>
                <w:tcPr>
                  <w:tcW w:w="993" w:type="dxa"/>
                  <w:vAlign w:val="center"/>
                </w:tcPr>
                <w:p w14:paraId="047D2813">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23CF2DFC">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100</w:t>
                  </w:r>
                </w:p>
              </w:tc>
              <w:tc>
                <w:tcPr>
                  <w:tcW w:w="2547" w:type="dxa"/>
                  <w:vMerge w:val="continue"/>
                  <w:vAlign w:val="center"/>
                </w:tcPr>
                <w:p w14:paraId="7E9FD9E5">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p>
              </w:tc>
            </w:tr>
            <w:tr w14:paraId="0F656252">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97" w:hRule="atLeast"/>
              </w:trPr>
              <w:tc>
                <w:tcPr>
                  <w:tcW w:w="1043" w:type="dxa"/>
                  <w:vAlign w:val="center"/>
                </w:tcPr>
                <w:p w14:paraId="39A8F0BC">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0"/>
                      <w:szCs w:val="21"/>
                      <w:highlight w:val="none"/>
                      <w14:textFill>
                        <w14:solidFill>
                          <w14:schemeClr w14:val="tx1"/>
                        </w14:solidFill>
                      </w14:textFill>
                    </w:rPr>
                    <w:t>氟化物</w:t>
                  </w:r>
                </w:p>
              </w:tc>
              <w:tc>
                <w:tcPr>
                  <w:tcW w:w="992" w:type="dxa"/>
                  <w:vAlign w:val="center"/>
                </w:tcPr>
                <w:p w14:paraId="33191763">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851" w:type="dxa"/>
                  <w:vAlign w:val="center"/>
                </w:tcPr>
                <w:p w14:paraId="35362EF0">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0"/>
                      <w:szCs w:val="21"/>
                      <w:highlight w:val="none"/>
                      <w14:textFill>
                        <w14:solidFill>
                          <w14:schemeClr w14:val="tx1"/>
                        </w14:solidFill>
                      </w14:textFill>
                    </w:rPr>
                    <w:t>20</w:t>
                  </w:r>
                </w:p>
              </w:tc>
              <w:tc>
                <w:tcPr>
                  <w:tcW w:w="1275" w:type="dxa"/>
                  <w:vAlign w:val="center"/>
                </w:tcPr>
                <w:p w14:paraId="4DC08C6A">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石油类</w:t>
                  </w:r>
                </w:p>
              </w:tc>
              <w:tc>
                <w:tcPr>
                  <w:tcW w:w="993" w:type="dxa"/>
                  <w:vAlign w:val="center"/>
                </w:tcPr>
                <w:p w14:paraId="506C9BF3">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mg/L</w:t>
                  </w:r>
                </w:p>
              </w:tc>
              <w:tc>
                <w:tcPr>
                  <w:tcW w:w="973" w:type="dxa"/>
                  <w:vAlign w:val="center"/>
                </w:tcPr>
                <w:p w14:paraId="02B11EED">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r>
                    <w:rPr>
                      <w:rFonts w:ascii="Times New Roman" w:hAnsi="Times New Roman" w:eastAsia="宋体" w:cs="Times New Roman"/>
                      <w:color w:val="000000" w:themeColor="text1"/>
                      <w:kern w:val="0"/>
                      <w:szCs w:val="21"/>
                      <w:highlight w:val="none"/>
                      <w14:textFill>
                        <w14:solidFill>
                          <w14:schemeClr w14:val="tx1"/>
                        </w14:solidFill>
                      </w14:textFill>
                    </w:rPr>
                    <w:t>20</w:t>
                  </w:r>
                </w:p>
              </w:tc>
              <w:tc>
                <w:tcPr>
                  <w:tcW w:w="2547" w:type="dxa"/>
                  <w:vMerge w:val="continue"/>
                  <w:vAlign w:val="center"/>
                </w:tcPr>
                <w:p w14:paraId="2A4FBEF2">
                  <w:pPr>
                    <w:adjustRightInd w:val="0"/>
                    <w:snapToGrid w:val="0"/>
                    <w:jc w:val="center"/>
                    <w:rPr>
                      <w:rFonts w:ascii="Times New Roman" w:hAnsi="Times New Roman" w:eastAsia="宋体" w:cs="Times New Roman"/>
                      <w:color w:val="000000" w:themeColor="text1"/>
                      <w:kern w:val="0"/>
                      <w:szCs w:val="21"/>
                      <w:highlight w:val="none"/>
                      <w14:textFill>
                        <w14:solidFill>
                          <w14:schemeClr w14:val="tx1"/>
                        </w14:solidFill>
                      </w14:textFill>
                    </w:rPr>
                  </w:pPr>
                </w:p>
              </w:tc>
            </w:tr>
          </w:tbl>
          <w:p w14:paraId="4276D143">
            <w:pPr>
              <w:keepNext w:val="0"/>
              <w:keepLines w:val="0"/>
              <w:pageBreakBefore w:val="0"/>
              <w:widowControl w:val="0"/>
              <w:kinsoku/>
              <w:wordWrap/>
              <w:overflowPunct/>
              <w:topLinePunct w:val="0"/>
              <w:autoSpaceDE/>
              <w:autoSpaceDN/>
              <w:bidi w:val="0"/>
              <w:adjustRightInd w:val="0"/>
              <w:snapToGrid/>
              <w:spacing w:line="240" w:lineRule="auto"/>
              <w:ind w:firstLine="422" w:firstLineChars="200"/>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s="Times New Roman"/>
                <w:b/>
                <w:color w:val="000000" w:themeColor="text1"/>
                <w:kern w:val="0"/>
                <w:szCs w:val="21"/>
                <w:highlight w:val="none"/>
                <w14:textFill>
                  <w14:solidFill>
                    <w14:schemeClr w14:val="tx1"/>
                  </w14:solidFill>
                </w14:textFill>
              </w:rPr>
              <w:t>注：NH</w:t>
            </w:r>
            <w:r>
              <w:rPr>
                <w:rFonts w:ascii="Times New Roman" w:hAnsi="Times New Roman" w:eastAsia="宋体" w:cs="Times New Roman"/>
                <w:b/>
                <w:color w:val="000000" w:themeColor="text1"/>
                <w:kern w:val="0"/>
                <w:szCs w:val="21"/>
                <w:highlight w:val="none"/>
                <w:vertAlign w:val="subscript"/>
                <w14:textFill>
                  <w14:solidFill>
                    <w14:schemeClr w14:val="tx1"/>
                  </w14:solidFill>
                </w14:textFill>
              </w:rPr>
              <w:t>3</w:t>
            </w:r>
            <w:r>
              <w:rPr>
                <w:rFonts w:ascii="Times New Roman" w:hAnsi="Times New Roman" w:eastAsia="宋体" w:cs="Times New Roman"/>
                <w:b/>
                <w:color w:val="000000" w:themeColor="text1"/>
                <w:kern w:val="0"/>
                <w:szCs w:val="21"/>
                <w:highlight w:val="none"/>
                <w14:textFill>
                  <w14:solidFill>
                    <w14:schemeClr w14:val="tx1"/>
                  </w14:solidFill>
                </w14:textFill>
              </w:rPr>
              <w:t>-N/总磷在</w:t>
            </w:r>
            <w:r>
              <w:rPr>
                <w:rFonts w:ascii="Times New Roman" w:hAnsi="Times New Roman" w:eastAsia="宋体" w:cs="Times New Roman"/>
                <w:b/>
                <w:color w:val="000000" w:themeColor="text1"/>
                <w:szCs w:val="21"/>
                <w:highlight w:val="none"/>
                <w14:textFill>
                  <w14:solidFill>
                    <w14:schemeClr w14:val="tx1"/>
                  </w14:solidFill>
                </w14:textFill>
              </w:rPr>
              <w:t>《污水综合排放标准》（GB8978-1996）表4三级排放标准中未作规定，参照执行《污水排入城镇下水管道水质标准》（GB/T31962-2015）表1中B等级标准。</w:t>
            </w:r>
          </w:p>
          <w:p w14:paraId="0C8F03C2">
            <w:pPr>
              <w:spacing w:line="500" w:lineRule="exact"/>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三、噪声</w:t>
            </w:r>
          </w:p>
          <w:p w14:paraId="59C6CC05">
            <w:pPr>
              <w:widowControl w:val="0"/>
              <w:adjustRightInd w:val="0"/>
              <w:spacing w:line="360" w:lineRule="auto"/>
              <w:ind w:firstLine="480" w:firstLineChars="200"/>
              <w:jc w:val="left"/>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pPr>
            <w:r>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施工期噪声执行《建筑施工场界环境噪声排放标准》（GB12523-2011）标准；运营期噪声执行《工业企业厂界环境噪声排放标准》（GB12348-2008）3类标准，标准值见表3-</w:t>
            </w:r>
            <w:r>
              <w:rPr>
                <w:rFonts w:hint="eastAsia"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11</w:t>
            </w:r>
            <w:r>
              <w:rPr>
                <w:rFonts w:ascii="Times New Roman" w:hAnsi="Times New Roman" w:eastAsia="宋体" w:cs="Times New Roman"/>
                <w:b w:val="0"/>
                <w:color w:val="000000" w:themeColor="text1"/>
                <w:kern w:val="0"/>
                <w:sz w:val="24"/>
                <w:szCs w:val="24"/>
                <w:highlight w:val="none"/>
                <w:lang w:val="en-US" w:eastAsia="zh-CN" w:bidi="ar-SA"/>
                <w14:textFill>
                  <w14:solidFill>
                    <w14:schemeClr w14:val="tx1"/>
                  </w14:solidFill>
                </w14:textFill>
              </w:rPr>
              <w:t>。</w:t>
            </w:r>
          </w:p>
          <w:p w14:paraId="70BA98FC">
            <w:pPr>
              <w:tabs>
                <w:tab w:val="left" w:pos="2592"/>
              </w:tabs>
              <w:ind w:firstLine="2530" w:firstLineChars="1200"/>
              <w:rPr>
                <w:rFonts w:ascii="Times New Roman" w:hAnsi="Times New Roman" w:eastAsia="宋体" w:cs="Times New Roman"/>
                <w:b/>
                <w:bCs/>
                <w:color w:val="000000" w:themeColor="text1"/>
                <w:szCs w:val="24"/>
                <w:highlight w:val="none"/>
                <w14:textFill>
                  <w14:solidFill>
                    <w14:schemeClr w14:val="tx1"/>
                  </w14:solidFill>
                </w14:textFill>
              </w:rPr>
            </w:pPr>
            <w:r>
              <w:rPr>
                <w:rFonts w:ascii="Times New Roman" w:hAnsi="Times New Roman" w:eastAsia="宋体" w:cs="Times New Roman"/>
                <w:b/>
                <w:bCs/>
                <w:color w:val="000000" w:themeColor="text1"/>
                <w:szCs w:val="24"/>
                <w:highlight w:val="none"/>
                <w14:textFill>
                  <w14:solidFill>
                    <w14:schemeClr w14:val="tx1"/>
                  </w14:solidFill>
                </w14:textFill>
              </w:rPr>
              <w:t>表3-</w:t>
            </w:r>
            <w:r>
              <w:rPr>
                <w:rFonts w:hint="eastAsia" w:ascii="Times New Roman" w:hAnsi="Times New Roman" w:eastAsia="宋体" w:cs="Times New Roman"/>
                <w:b/>
                <w:bCs/>
                <w:color w:val="000000" w:themeColor="text1"/>
                <w:szCs w:val="24"/>
                <w:highlight w:val="none"/>
                <w:lang w:val="en-US" w:eastAsia="zh-CN"/>
                <w14:textFill>
                  <w14:solidFill>
                    <w14:schemeClr w14:val="tx1"/>
                  </w14:solidFill>
                </w14:textFill>
              </w:rPr>
              <w:t>11</w:t>
            </w:r>
            <w:r>
              <w:rPr>
                <w:rFonts w:ascii="Times New Roman" w:hAnsi="Times New Roman" w:eastAsia="宋体" w:cs="Times New Roman"/>
                <w:b/>
                <w:bCs/>
                <w:color w:val="000000" w:themeColor="text1"/>
                <w:szCs w:val="24"/>
                <w:highlight w:val="none"/>
                <w14:textFill>
                  <w14:solidFill>
                    <w14:schemeClr w14:val="tx1"/>
                  </w14:solidFill>
                </w14:textFill>
              </w:rPr>
              <w:t xml:space="preserve">       </w:t>
            </w:r>
            <w:r>
              <w:rPr>
                <w:rFonts w:ascii="Times New Roman" w:hAnsi="Times New Roman" w:eastAsia="宋体" w:cs="Times New Roman"/>
                <w:b/>
                <w:color w:val="000000" w:themeColor="text1"/>
                <w:szCs w:val="21"/>
                <w:highlight w:val="none"/>
                <w14:textFill>
                  <w14:solidFill>
                    <w14:schemeClr w14:val="tx1"/>
                  </w14:solidFill>
                </w14:textFill>
              </w:rPr>
              <w:t>噪声排放标准              单位：dB（A）</w:t>
            </w:r>
          </w:p>
          <w:tbl>
            <w:tblPr>
              <w:tblStyle w:val="20"/>
              <w:tblW w:w="803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845"/>
              <w:gridCol w:w="2097"/>
              <w:gridCol w:w="2097"/>
            </w:tblGrid>
            <w:tr w14:paraId="76BFD2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845" w:type="dxa"/>
                  <w:vAlign w:val="center"/>
                </w:tcPr>
                <w:p w14:paraId="56E2C46F">
                  <w:pPr>
                    <w:tabs>
                      <w:tab w:val="left" w:pos="2592"/>
                    </w:tabs>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标准来源</w:t>
                  </w:r>
                </w:p>
              </w:tc>
              <w:tc>
                <w:tcPr>
                  <w:tcW w:w="2097" w:type="dxa"/>
                  <w:vAlign w:val="center"/>
                </w:tcPr>
                <w:p w14:paraId="21530F95">
                  <w:pPr>
                    <w:tabs>
                      <w:tab w:val="left" w:pos="2592"/>
                    </w:tabs>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昼间</w:t>
                  </w:r>
                </w:p>
              </w:tc>
              <w:tc>
                <w:tcPr>
                  <w:tcW w:w="2097" w:type="dxa"/>
                  <w:vAlign w:val="center"/>
                </w:tcPr>
                <w:p w14:paraId="01EEBAB7">
                  <w:pPr>
                    <w:tabs>
                      <w:tab w:val="left" w:pos="2592"/>
                    </w:tabs>
                    <w:jc w:val="center"/>
                    <w:rPr>
                      <w:rFonts w:ascii="Times New Roman" w:hAnsi="Times New Roman" w:eastAsia="宋体" w:cs="Times New Roman"/>
                      <w:b/>
                      <w:bCs/>
                      <w:color w:val="000000" w:themeColor="text1"/>
                      <w:szCs w:val="21"/>
                      <w:highlight w:val="none"/>
                      <w14:textFill>
                        <w14:solidFill>
                          <w14:schemeClr w14:val="tx1"/>
                        </w14:solidFill>
                      </w14:textFill>
                    </w:rPr>
                  </w:pPr>
                  <w:r>
                    <w:rPr>
                      <w:rFonts w:ascii="Times New Roman" w:hAnsi="Times New Roman" w:eastAsia="宋体" w:cs="Times New Roman"/>
                      <w:b/>
                      <w:bCs/>
                      <w:color w:val="000000" w:themeColor="text1"/>
                      <w:szCs w:val="21"/>
                      <w:highlight w:val="none"/>
                      <w14:textFill>
                        <w14:solidFill>
                          <w14:schemeClr w14:val="tx1"/>
                        </w14:solidFill>
                      </w14:textFill>
                    </w:rPr>
                    <w:t>夜间</w:t>
                  </w:r>
                </w:p>
              </w:tc>
            </w:tr>
            <w:tr w14:paraId="142C56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3845" w:type="dxa"/>
                  <w:vAlign w:val="center"/>
                </w:tcPr>
                <w:p w14:paraId="2FA0AD16">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《建筑施工场界环境噪声排放标准》（GB12523-2011）</w:t>
                  </w:r>
                </w:p>
              </w:tc>
              <w:tc>
                <w:tcPr>
                  <w:tcW w:w="2097" w:type="dxa"/>
                  <w:vAlign w:val="center"/>
                </w:tcPr>
                <w:p w14:paraId="16D2412E">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70</w:t>
                  </w:r>
                </w:p>
              </w:tc>
              <w:tc>
                <w:tcPr>
                  <w:tcW w:w="2097" w:type="dxa"/>
                  <w:vAlign w:val="center"/>
                </w:tcPr>
                <w:p w14:paraId="650D4D04">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55</w:t>
                  </w:r>
                </w:p>
              </w:tc>
            </w:tr>
            <w:tr w14:paraId="34E577D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3845" w:type="dxa"/>
                  <w:vAlign w:val="center"/>
                </w:tcPr>
                <w:p w14:paraId="78830CF2">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bCs/>
                      <w:color w:val="000000" w:themeColor="text1"/>
                      <w:szCs w:val="21"/>
                      <w:highlight w:val="none"/>
                      <w14:textFill>
                        <w14:solidFill>
                          <w14:schemeClr w14:val="tx1"/>
                        </w14:solidFill>
                      </w14:textFill>
                    </w:rPr>
                    <w:t>《工业企业厂界环境噪声排放标准》（GB12348-2008）3类排放标准</w:t>
                  </w:r>
                </w:p>
              </w:tc>
              <w:tc>
                <w:tcPr>
                  <w:tcW w:w="2097" w:type="dxa"/>
                  <w:vAlign w:val="center"/>
                </w:tcPr>
                <w:p w14:paraId="476B0D12">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65</w:t>
                  </w:r>
                </w:p>
              </w:tc>
              <w:tc>
                <w:tcPr>
                  <w:tcW w:w="2097" w:type="dxa"/>
                  <w:vAlign w:val="center"/>
                </w:tcPr>
                <w:p w14:paraId="526C5180">
                  <w:pPr>
                    <w:tabs>
                      <w:tab w:val="left" w:pos="2592"/>
                    </w:tabs>
                    <w:jc w:val="center"/>
                    <w:rPr>
                      <w:rFonts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s="Times New Roman"/>
                      <w:color w:val="000000" w:themeColor="text1"/>
                      <w:szCs w:val="21"/>
                      <w:highlight w:val="none"/>
                      <w14:textFill>
                        <w14:solidFill>
                          <w14:schemeClr w14:val="tx1"/>
                        </w14:solidFill>
                      </w14:textFill>
                    </w:rPr>
                    <w:t>55</w:t>
                  </w:r>
                </w:p>
              </w:tc>
            </w:tr>
          </w:tbl>
          <w:p w14:paraId="6AD46B88">
            <w:pPr>
              <w:spacing w:line="500" w:lineRule="exact"/>
              <w:rPr>
                <w:rFonts w:ascii="Times New Roman" w:hAnsi="Times New Roman" w:eastAsia="宋体"/>
                <w:b/>
                <w:bCs/>
                <w:color w:val="000000" w:themeColor="text1"/>
                <w:kern w:val="0"/>
                <w:sz w:val="24"/>
                <w:szCs w:val="24"/>
                <w:highlight w:val="none"/>
                <w14:textFill>
                  <w14:solidFill>
                    <w14:schemeClr w14:val="tx1"/>
                  </w14:solidFill>
                </w14:textFill>
              </w:rPr>
            </w:pPr>
            <w:r>
              <w:rPr>
                <w:rFonts w:hint="eastAsia" w:ascii="Times New Roman" w:hAnsi="Times New Roman" w:eastAsia="宋体"/>
                <w:b/>
                <w:bCs/>
                <w:color w:val="000000" w:themeColor="text1"/>
                <w:kern w:val="0"/>
                <w:sz w:val="24"/>
                <w:szCs w:val="24"/>
                <w:highlight w:val="none"/>
                <w14:textFill>
                  <w14:solidFill>
                    <w14:schemeClr w14:val="tx1"/>
                  </w14:solidFill>
                </w14:textFill>
              </w:rPr>
              <w:t>四、固体废物</w:t>
            </w:r>
          </w:p>
          <w:p w14:paraId="7AE851B7">
            <w:pPr>
              <w:spacing w:line="500" w:lineRule="exact"/>
              <w:ind w:firstLine="480" w:firstLineChars="200"/>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本项目</w:t>
            </w:r>
            <w:r>
              <w:rPr>
                <w:rFonts w:hint="eastAsia" w:ascii="Times New Roman" w:hAnsi="Times New Roman" w:eastAsia="宋体"/>
                <w:color w:val="000000" w:themeColor="text1"/>
                <w:kern w:val="0"/>
                <w:sz w:val="24"/>
                <w:szCs w:val="24"/>
                <w:highlight w:val="none"/>
                <w14:textFill>
                  <w14:solidFill>
                    <w14:schemeClr w14:val="tx1"/>
                  </w14:solidFill>
                </w14:textFill>
              </w:rPr>
              <w:t>一般工业固体废物</w:t>
            </w:r>
            <w:r>
              <w:rPr>
                <w:rFonts w:ascii="宋体" w:hAnsi="宋体" w:eastAsia="宋体" w:cs="宋体"/>
                <w:color w:val="000000" w:themeColor="text1"/>
                <w:sz w:val="24"/>
                <w:szCs w:val="24"/>
                <w:highlight w:val="none"/>
                <w14:textFill>
                  <w14:solidFill>
                    <w14:schemeClr w14:val="tx1"/>
                  </w14:solidFill>
                </w14:textFill>
              </w:rPr>
              <w:t>贮存过程应满足相应防渗漏、防雨淋、防扬尘等环境保护要求。</w:t>
            </w:r>
            <w:r>
              <w:rPr>
                <w:rFonts w:hint="eastAsia" w:ascii="Times New Roman" w:hAnsi="Times New Roman" w:eastAsia="宋体"/>
                <w:color w:val="000000" w:themeColor="text1"/>
                <w:kern w:val="0"/>
                <w:sz w:val="24"/>
                <w:szCs w:val="24"/>
                <w:highlight w:val="none"/>
                <w14:textFill>
                  <w14:solidFill>
                    <w14:schemeClr w14:val="tx1"/>
                  </w14:solidFill>
                </w14:textFill>
              </w:rPr>
              <w:t>危险废物按照《危险废物贮存污染控制标准》（GB18597-2001）及其修改单要求执行。</w:t>
            </w:r>
          </w:p>
        </w:tc>
      </w:tr>
      <w:tr w14:paraId="11A839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 w:type="pct"/>
            <w:vAlign w:val="center"/>
          </w:tcPr>
          <w:p w14:paraId="02C95A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总量控制指标</w:t>
            </w:r>
          </w:p>
        </w:tc>
        <w:tc>
          <w:tcPr>
            <w:tcW w:w="4500" w:type="pct"/>
          </w:tcPr>
          <w:p w14:paraId="3546362F">
            <w:pPr>
              <w:spacing w:line="500" w:lineRule="exact"/>
              <w:ind w:firstLine="480" w:firstLineChars="200"/>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根据国务院《关于印发大气污染防治行动计划的通知》（国发〔2013〕37号）、《关于印发水污染防治行动计划的通知》（国发〔2015〕17号）、《国家环境保护标准“十三五”发展规划》、《关于贯彻落实&lt;建设项目主要污染物排放总量指标审核及管理暂行办法&gt;的通知》（川环办发〔2015〕333号）等文件中规定的实施污染物种类与原则。</w:t>
            </w:r>
          </w:p>
          <w:p w14:paraId="5DA805BC">
            <w:pPr>
              <w:spacing w:line="360" w:lineRule="auto"/>
              <w:ind w:firstLine="482" w:firstLineChars="200"/>
              <w:jc w:val="left"/>
              <w:rPr>
                <w:rFonts w:ascii="Times New Roman" w:hAnsi="Times New Roman" w:eastAsia="宋体" w:cs="Times New Roman"/>
                <w:b/>
                <w:color w:val="000000" w:themeColor="text1"/>
                <w:sz w:val="24"/>
                <w:szCs w:val="21"/>
                <w:highlight w:val="none"/>
                <w14:textFill>
                  <w14:solidFill>
                    <w14:schemeClr w14:val="tx1"/>
                  </w14:solidFill>
                </w14:textFill>
              </w:rPr>
            </w:pPr>
            <w:r>
              <w:rPr>
                <w:rFonts w:hint="eastAsia" w:ascii="Times New Roman" w:hAnsi="Times New Roman" w:eastAsia="宋体" w:cs="Times New Roman"/>
                <w:b/>
                <w:color w:val="000000" w:themeColor="text1"/>
                <w:sz w:val="24"/>
                <w:szCs w:val="22"/>
                <w:highlight w:val="none"/>
                <w14:textFill>
                  <w14:solidFill>
                    <w14:schemeClr w14:val="tx1"/>
                  </w14:solidFill>
                </w14:textFill>
              </w:rPr>
              <w:t>一</w:t>
            </w:r>
            <w:r>
              <w:rPr>
                <w:rFonts w:ascii="Times New Roman" w:hAnsi="Times New Roman" w:eastAsia="宋体" w:cs="Times New Roman"/>
                <w:b/>
                <w:color w:val="000000" w:themeColor="text1"/>
                <w:sz w:val="24"/>
                <w:szCs w:val="22"/>
                <w:highlight w:val="none"/>
                <w14:textFill>
                  <w14:solidFill>
                    <w14:schemeClr w14:val="tx1"/>
                  </w14:solidFill>
                </w14:textFill>
              </w:rPr>
              <w:t>、废气总量控制指标建议</w:t>
            </w:r>
            <w:r>
              <w:rPr>
                <w:rFonts w:ascii="Times New Roman" w:hAnsi="Times New Roman" w:eastAsia="宋体" w:cs="Times New Roman"/>
                <w:b/>
                <w:color w:val="000000" w:themeColor="text1"/>
                <w:sz w:val="24"/>
                <w:szCs w:val="24"/>
                <w:highlight w:val="none"/>
                <w14:textFill>
                  <w14:solidFill>
                    <w14:schemeClr w14:val="tx1"/>
                  </w14:solidFill>
                </w14:textFill>
              </w:rPr>
              <w:t>。</w:t>
            </w:r>
          </w:p>
          <w:p w14:paraId="7BC6219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14:textFill>
                  <w14:solidFill>
                    <w14:schemeClr w14:val="tx1"/>
                  </w14:solidFill>
                </w14:textFill>
              </w:rPr>
              <w:t>根据四川省环境保护厅《关于贯彻落实&lt;建设项目主要污染物排放总量指标审核及管理暂行办法&gt;的通知》（川环办发〔2015〕333号），</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本项目不涉及废气总量控制指标</w:t>
            </w:r>
            <w:r>
              <w:rPr>
                <w:rFonts w:ascii="Times New Roman" w:hAnsi="Times New Roman" w:eastAsia="宋体" w:cs="Times New Roman"/>
                <w:color w:val="000000" w:themeColor="text1"/>
                <w:sz w:val="24"/>
                <w:szCs w:val="24"/>
                <w:highlight w:val="none"/>
                <w14:textFill>
                  <w14:solidFill>
                    <w14:schemeClr w14:val="tx1"/>
                  </w14:solidFill>
                </w14:textFill>
              </w:rPr>
              <w:t>。</w:t>
            </w:r>
          </w:p>
          <w:p w14:paraId="632A8DB1">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s="Times New Roman"/>
                <w:b/>
                <w:color w:val="000000" w:themeColor="text1"/>
                <w:sz w:val="24"/>
                <w:szCs w:val="24"/>
                <w:highlight w:val="none"/>
                <w14:textFill>
                  <w14:solidFill>
                    <w14:schemeClr w14:val="tx1"/>
                  </w14:solidFill>
                </w14:textFill>
              </w:rPr>
            </w:pPr>
            <w:r>
              <w:rPr>
                <w:rFonts w:hint="eastAsia" w:ascii="Times New Roman" w:hAnsi="Times New Roman" w:eastAsia="宋体" w:cs="Times New Roman"/>
                <w:b/>
                <w:color w:val="000000" w:themeColor="text1"/>
                <w:sz w:val="24"/>
                <w:szCs w:val="24"/>
                <w:highlight w:val="none"/>
                <w14:textFill>
                  <w14:solidFill>
                    <w14:schemeClr w14:val="tx1"/>
                  </w14:solidFill>
                </w14:textFill>
              </w:rPr>
              <w:t>二</w:t>
            </w:r>
            <w:r>
              <w:rPr>
                <w:rFonts w:ascii="Times New Roman" w:hAnsi="Times New Roman" w:eastAsia="宋体" w:cs="Times New Roman"/>
                <w:b/>
                <w:color w:val="000000" w:themeColor="text1"/>
                <w:sz w:val="24"/>
                <w:szCs w:val="24"/>
                <w:highlight w:val="none"/>
                <w14:textFill>
                  <w14:solidFill>
                    <w14:schemeClr w14:val="tx1"/>
                  </w14:solidFill>
                </w14:textFill>
              </w:rPr>
              <w:t>、废水总量控制指标建议：废水污染物中的COD、NH</w:t>
            </w:r>
            <w:r>
              <w:rPr>
                <w:rFonts w:ascii="Times New Roman" w:hAnsi="Times New Roman" w:eastAsia="宋体" w:cs="Times New Roman"/>
                <w:b/>
                <w:color w:val="000000" w:themeColor="text1"/>
                <w:sz w:val="24"/>
                <w:szCs w:val="24"/>
                <w:highlight w:val="none"/>
                <w:vertAlign w:val="subscript"/>
                <w14:textFill>
                  <w14:solidFill>
                    <w14:schemeClr w14:val="tx1"/>
                  </w14:solidFill>
                </w14:textFill>
              </w:rPr>
              <w:t>3</w:t>
            </w:r>
            <w:r>
              <w:rPr>
                <w:rFonts w:ascii="Times New Roman" w:hAnsi="Times New Roman" w:eastAsia="宋体" w:cs="Times New Roman"/>
                <w:b/>
                <w:color w:val="000000" w:themeColor="text1"/>
                <w:sz w:val="24"/>
                <w:szCs w:val="24"/>
                <w:highlight w:val="none"/>
                <w14:textFill>
                  <w14:solidFill>
                    <w14:schemeClr w14:val="tx1"/>
                  </w14:solidFill>
                </w14:textFill>
              </w:rPr>
              <w:t>-N、总磷。</w:t>
            </w:r>
          </w:p>
          <w:p w14:paraId="55A719C1">
            <w:pPr>
              <w:keepNext w:val="0"/>
              <w:keepLines w:val="0"/>
              <w:pageBreakBefore w:val="0"/>
              <w:widowControl w:val="0"/>
              <w:kinsoku/>
              <w:wordWrap/>
              <w:overflowPunct/>
              <w:topLinePunct w:val="0"/>
              <w:autoSpaceDE/>
              <w:autoSpaceDN/>
              <w:bidi w:val="0"/>
              <w:adjustRightInd w:val="0"/>
              <w:snapToGrid w:val="0"/>
              <w:spacing w:line="360" w:lineRule="auto"/>
              <w:ind w:firstLine="48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项目生产废水和初期雨水经过</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14:textFill>
                  <w14:solidFill>
                    <w14:schemeClr w14:val="tx1"/>
                  </w14:solidFill>
                </w14:textFill>
              </w:rPr>
              <w:t>后回用，生活污水</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11.52</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4032</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ascii="Times New Roman" w:hAnsi="Times New Roman" w:eastAsia="宋体" w:cs="Times New Roman"/>
                <w:bCs/>
                <w:color w:val="000000" w:themeColor="text1"/>
                <w:sz w:val="24"/>
                <w:szCs w:val="24"/>
                <w:highlight w:val="none"/>
                <w14:textFill>
                  <w14:solidFill>
                    <w14:schemeClr w14:val="tx1"/>
                  </w14:solidFill>
                </w14:textFill>
              </w:rPr>
              <w:t>经厂区内预处理达</w:t>
            </w:r>
            <w:r>
              <w:rPr>
                <w:rFonts w:ascii="Times New Roman" w:hAnsi="Times New Roman" w:eastAsia="宋体" w:cs="Times New Roman"/>
                <w:color w:val="000000" w:themeColor="text1"/>
                <w:kern w:val="0"/>
                <w:sz w:val="24"/>
                <w:szCs w:val="22"/>
                <w:highlight w:val="none"/>
                <w14:textFill>
                  <w14:solidFill>
                    <w14:schemeClr w14:val="tx1"/>
                  </w14:solidFill>
                </w14:textFill>
              </w:rPr>
              <w:t>《污水综合排放标准》（GB8978-1996）中的三级标准</w:t>
            </w:r>
            <w:r>
              <w:rPr>
                <w:rFonts w:ascii="Times New Roman" w:hAnsi="Times New Roman" w:eastAsia="宋体" w:cs="Times New Roman"/>
                <w:bCs/>
                <w:color w:val="000000" w:themeColor="text1"/>
                <w:sz w:val="24"/>
                <w:szCs w:val="24"/>
                <w:highlight w:val="none"/>
                <w14:textFill>
                  <w14:solidFill>
                    <w14:schemeClr w14:val="tx1"/>
                  </w14:solidFill>
                </w14:textFill>
              </w:rPr>
              <w:t>后进入</w:t>
            </w:r>
            <w:r>
              <w:rPr>
                <w:rFonts w:hint="eastAsia" w:ascii="Times New Roman" w:hAnsi="Times New Roman" w:eastAsia="宋体" w:cs="Times New Roman"/>
                <w:color w:val="000000" w:themeColor="text1"/>
                <w:sz w:val="24"/>
                <w:szCs w:val="21"/>
                <w:highlight w:val="none"/>
                <w:lang w:eastAsia="zh-CN"/>
                <w14:textFill>
                  <w14:solidFill>
                    <w14:schemeClr w14:val="tx1"/>
                  </w14:solidFill>
                </w14:textFill>
              </w:rPr>
              <w:t>宝梵</w:t>
            </w:r>
            <w:r>
              <w:rPr>
                <w:rFonts w:hint="eastAsia" w:ascii="Times New Roman" w:hAnsi="Times New Roman" w:eastAsia="宋体" w:cs="Times New Roman"/>
                <w:color w:val="000000" w:themeColor="text1"/>
                <w:sz w:val="24"/>
                <w:szCs w:val="21"/>
                <w:highlight w:val="none"/>
                <w14:textFill>
                  <w14:solidFill>
                    <w14:schemeClr w14:val="tx1"/>
                  </w14:solidFill>
                </w14:textFill>
              </w:rPr>
              <w:t>污水处理厂</w:t>
            </w:r>
            <w:r>
              <w:rPr>
                <w:rFonts w:ascii="Times New Roman" w:hAnsi="Times New Roman" w:eastAsia="宋体" w:cs="Times New Roman"/>
                <w:bCs/>
                <w:color w:val="000000" w:themeColor="text1"/>
                <w:sz w:val="24"/>
                <w:szCs w:val="24"/>
                <w:highlight w:val="none"/>
                <w14:textFill>
                  <w14:solidFill>
                    <w14:schemeClr w14:val="tx1"/>
                  </w14:solidFill>
                </w14:textFill>
              </w:rPr>
              <w:t>处理达到《城镇污水处理厂污染物排放标准》（GB18918-2002）一级A标准后排入</w:t>
            </w:r>
            <w:r>
              <w:rPr>
                <w:rFonts w:hint="eastAsia" w:ascii="Times New Roman" w:hAnsi="Times New Roman" w:eastAsia="宋体" w:cs="Times New Roman"/>
                <w:color w:val="000000" w:themeColor="text1"/>
                <w:sz w:val="24"/>
                <w:szCs w:val="32"/>
                <w:highlight w:val="none"/>
                <w:lang w:eastAsia="zh-CN"/>
                <w14:textFill>
                  <w14:solidFill>
                    <w14:schemeClr w14:val="tx1"/>
                  </w14:solidFill>
                </w14:textFill>
              </w:rPr>
              <w:t>小潼河</w:t>
            </w:r>
            <w:r>
              <w:rPr>
                <w:rFonts w:ascii="Times New Roman" w:hAnsi="Times New Roman" w:eastAsia="宋体" w:cs="Times New Roman"/>
                <w:color w:val="000000" w:themeColor="text1"/>
                <w:sz w:val="24"/>
                <w:szCs w:val="22"/>
                <w:highlight w:val="none"/>
                <w14:textFill>
                  <w14:solidFill>
                    <w14:schemeClr w14:val="tx1"/>
                  </w14:solidFill>
                </w14:textFill>
              </w:rPr>
              <w:t>。</w:t>
            </w:r>
            <w:r>
              <w:rPr>
                <w:rFonts w:ascii="Times New Roman" w:hAnsi="Times New Roman" w:eastAsia="宋体" w:cs="Times New Roman"/>
                <w:color w:val="000000" w:themeColor="text1"/>
                <w:sz w:val="24"/>
                <w:szCs w:val="24"/>
                <w:highlight w:val="none"/>
                <w:lang w:val="zh-CN"/>
                <w14:textFill>
                  <w14:solidFill>
                    <w14:schemeClr w14:val="tx1"/>
                  </w14:solidFill>
                </w14:textFill>
              </w:rPr>
              <w:t>本</w:t>
            </w:r>
            <w:r>
              <w:rPr>
                <w:rFonts w:ascii="Times New Roman" w:hAnsi="Times New Roman" w:eastAsia="宋体" w:cs="Times New Roman"/>
                <w:color w:val="000000" w:themeColor="text1"/>
                <w:sz w:val="24"/>
                <w:szCs w:val="24"/>
                <w:highlight w:val="none"/>
                <w14:textFill>
                  <w14:solidFill>
                    <w14:schemeClr w14:val="tx1"/>
                  </w14:solidFill>
                </w14:textFill>
              </w:rPr>
              <w:t>评价仅就本项目进入</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污水处理厂</w:t>
            </w:r>
            <w:r>
              <w:rPr>
                <w:rFonts w:ascii="Times New Roman" w:hAnsi="Times New Roman" w:eastAsia="宋体" w:cs="Times New Roman"/>
                <w:color w:val="000000" w:themeColor="text1"/>
                <w:sz w:val="24"/>
                <w:szCs w:val="24"/>
                <w:highlight w:val="none"/>
                <w14:textFill>
                  <w14:solidFill>
                    <w14:schemeClr w14:val="tx1"/>
                  </w14:solidFill>
                </w14:textFill>
              </w:rPr>
              <w:t>和经污水处理厂处理后排放</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的</w:t>
            </w:r>
            <w:r>
              <w:rPr>
                <w:rFonts w:ascii="Times New Roman" w:hAnsi="Times New Roman" w:eastAsia="宋体" w:cs="Times New Roman"/>
                <w:color w:val="000000" w:themeColor="text1"/>
                <w:sz w:val="24"/>
                <w:szCs w:val="24"/>
                <w:highlight w:val="none"/>
                <w14:textFill>
                  <w14:solidFill>
                    <w14:schemeClr w14:val="tx1"/>
                  </w14:solidFill>
                </w14:textFill>
              </w:rPr>
              <w:t>水污染物给出统计数据：</w:t>
            </w:r>
          </w:p>
          <w:p w14:paraId="5CDCB08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b/>
                <w:bCs/>
                <w:color w:val="000000" w:themeColor="text1"/>
                <w:sz w:val="24"/>
                <w:szCs w:val="24"/>
                <w:highlight w:val="none"/>
                <w:lang w:val="zh-CN"/>
                <w14:textFill>
                  <w14:solidFill>
                    <w14:schemeClr w14:val="tx1"/>
                  </w14:solidFill>
                </w14:textFill>
              </w:rPr>
            </w:pPr>
            <w:r>
              <w:rPr>
                <w:rFonts w:ascii="Times New Roman" w:hAnsi="Times New Roman" w:eastAsia="宋体" w:cs="Times New Roman"/>
                <w:b/>
                <w:bCs/>
                <w:color w:val="000000" w:themeColor="text1"/>
                <w:sz w:val="24"/>
                <w:szCs w:val="24"/>
                <w:highlight w:val="none"/>
                <w:lang w:val="zh-CN"/>
                <w14:textFill>
                  <w14:solidFill>
                    <w14:schemeClr w14:val="tx1"/>
                  </w14:solidFill>
                </w14:textFill>
              </w:rPr>
              <w:t>（1）本项目进入</w:t>
            </w:r>
            <w:r>
              <w:rPr>
                <w:rFonts w:hint="eastAsia" w:ascii="Times New Roman" w:hAnsi="Times New Roman" w:eastAsia="宋体" w:cs="Times New Roman"/>
                <w:b/>
                <w:bCs/>
                <w:color w:val="000000" w:themeColor="text1"/>
                <w:sz w:val="24"/>
                <w:szCs w:val="24"/>
                <w:highlight w:val="none"/>
                <w:lang w:val="zh-CN"/>
                <w14:textFill>
                  <w14:solidFill>
                    <w14:schemeClr w14:val="tx1"/>
                  </w14:solidFill>
                </w14:textFill>
              </w:rPr>
              <w:t>宝梵污水处理厂</w:t>
            </w:r>
            <w:r>
              <w:rPr>
                <w:rFonts w:ascii="Times New Roman" w:hAnsi="Times New Roman" w:eastAsia="宋体" w:cs="Times New Roman"/>
                <w:b/>
                <w:bCs/>
                <w:color w:val="000000" w:themeColor="text1"/>
                <w:sz w:val="24"/>
                <w:szCs w:val="24"/>
                <w:highlight w:val="none"/>
                <w:lang w:val="zh-CN"/>
                <w14:textFill>
                  <w14:solidFill>
                    <w14:schemeClr w14:val="tx1"/>
                  </w14:solidFill>
                </w14:textFill>
              </w:rPr>
              <w:t>的量</w:t>
            </w:r>
          </w:p>
          <w:p w14:paraId="5FD891E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COD：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4032</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500</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2.016</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6A7FFBA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NH</w:t>
            </w:r>
            <w:r>
              <w:rPr>
                <w:rFonts w:ascii="Times New Roman" w:hAnsi="Times New Roman" w:eastAsia="宋体" w:cs="Times New Roman"/>
                <w:b/>
                <w:color w:val="000000" w:themeColor="text1"/>
                <w:sz w:val="24"/>
                <w:szCs w:val="24"/>
                <w:highlight w:val="none"/>
                <w:vertAlign w:val="subscript"/>
                <w:lang w:val="zh-CN"/>
                <w14:textFill>
                  <w14:solidFill>
                    <w14:schemeClr w14:val="tx1"/>
                  </w14:solidFill>
                </w14:textFill>
              </w:rPr>
              <w:t>3</w:t>
            </w:r>
            <w:r>
              <w:rPr>
                <w:rFonts w:ascii="Times New Roman" w:hAnsi="Times New Roman" w:eastAsia="宋体" w:cs="Times New Roman"/>
                <w:b/>
                <w:color w:val="000000" w:themeColor="text1"/>
                <w:sz w:val="24"/>
                <w:szCs w:val="24"/>
                <w:highlight w:val="none"/>
                <w:lang w:val="zh-CN"/>
                <w14:textFill>
                  <w14:solidFill>
                    <w14:schemeClr w14:val="tx1"/>
                  </w14:solidFill>
                </w14:textFill>
              </w:rPr>
              <w:t>-N：</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4032</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45</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0.181</w:t>
            </w:r>
            <w:r>
              <w:rPr>
                <w:rFonts w:hint="eastAsia" w:ascii="Times New Roman" w:hAnsi="Times New Roman" w:eastAsia="宋体" w:cs="Times New Roman"/>
                <w:color w:val="000000" w:themeColor="text1"/>
                <w:sz w:val="24"/>
                <w:szCs w:val="24"/>
                <w:highlight w:val="none"/>
                <w14:textFill>
                  <w14:solidFill>
                    <w14:schemeClr w14:val="tx1"/>
                  </w14:solidFill>
                </w14:textFill>
              </w:rPr>
              <w:t>（</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554E2AF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bCs/>
                <w:color w:val="000000" w:themeColor="text1"/>
                <w:sz w:val="24"/>
                <w:szCs w:val="24"/>
                <w:highlight w:val="none"/>
                <w:lang w:val="zh-CN"/>
                <w14:textFill>
                  <w14:solidFill>
                    <w14:schemeClr w14:val="tx1"/>
                  </w14:solidFill>
                </w14:textFill>
              </w:rPr>
              <w:t>（2）</w:t>
            </w:r>
            <w:r>
              <w:rPr>
                <w:rFonts w:hint="eastAsia" w:ascii="Times New Roman" w:hAnsi="Times New Roman" w:eastAsia="宋体" w:cs="Times New Roman"/>
                <w:b/>
                <w:bCs/>
                <w:color w:val="000000" w:themeColor="text1"/>
                <w:sz w:val="24"/>
                <w:szCs w:val="24"/>
                <w:highlight w:val="none"/>
                <w:lang w:val="zh-CN"/>
                <w14:textFill>
                  <w14:solidFill>
                    <w14:schemeClr w14:val="tx1"/>
                  </w14:solidFill>
                </w14:textFill>
              </w:rPr>
              <w:t>宝梵污水处理厂</w:t>
            </w:r>
            <w:r>
              <w:rPr>
                <w:rFonts w:ascii="Times New Roman" w:hAnsi="Times New Roman" w:eastAsia="宋体" w:cs="Times New Roman"/>
                <w:b/>
                <w:bCs/>
                <w:color w:val="000000" w:themeColor="text1"/>
                <w:sz w:val="24"/>
                <w:szCs w:val="24"/>
                <w:highlight w:val="none"/>
                <w:lang w:val="zh-CN"/>
                <w14:textFill>
                  <w14:solidFill>
                    <w14:schemeClr w14:val="tx1"/>
                  </w14:solidFill>
                </w14:textFill>
              </w:rPr>
              <w:t>处理后排入</w:t>
            </w:r>
            <w:r>
              <w:rPr>
                <w:rFonts w:hint="eastAsia" w:ascii="Times New Roman" w:hAnsi="Times New Roman" w:eastAsia="宋体" w:cs="Times New Roman"/>
                <w:b/>
                <w:bCs/>
                <w:color w:val="000000" w:themeColor="text1"/>
                <w:sz w:val="24"/>
                <w:szCs w:val="24"/>
                <w:highlight w:val="none"/>
                <w:lang w:val="zh-CN"/>
                <w14:textFill>
                  <w14:solidFill>
                    <w14:schemeClr w14:val="tx1"/>
                  </w14:solidFill>
                </w14:textFill>
              </w:rPr>
              <w:t>小潼河</w:t>
            </w:r>
            <w:r>
              <w:rPr>
                <w:rFonts w:ascii="Times New Roman" w:hAnsi="Times New Roman" w:eastAsia="宋体" w:cs="Times New Roman"/>
                <w:b/>
                <w:bCs/>
                <w:color w:val="000000" w:themeColor="text1"/>
                <w:sz w:val="24"/>
                <w:szCs w:val="24"/>
                <w:highlight w:val="none"/>
                <w:lang w:val="zh-CN"/>
                <w14:textFill>
                  <w14:solidFill>
                    <w14:schemeClr w14:val="tx1"/>
                  </w14:solidFill>
                </w14:textFill>
              </w:rPr>
              <w:t>的量</w:t>
            </w:r>
          </w:p>
          <w:p w14:paraId="4922776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Times New Roman" w:hAnsi="Times New Roman" w:eastAsia="宋体" w:cs="Times New Roman"/>
                <w:color w:val="000000" w:themeColor="text1"/>
                <w:sz w:val="24"/>
                <w:szCs w:val="24"/>
                <w:highlight w:val="none"/>
                <w:lang w:val="zh-CN"/>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COD：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4032</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50</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hint="eastAsia"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0.202</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3E82DE8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s="Times New Roman"/>
                <w:b/>
                <w:color w:val="000000" w:themeColor="text1"/>
                <w:sz w:val="24"/>
                <w:szCs w:val="24"/>
                <w:highlight w:val="none"/>
                <w:lang w:val="zh-CN"/>
                <w14:textFill>
                  <w14:solidFill>
                    <w14:schemeClr w14:val="tx1"/>
                  </w14:solidFill>
                </w14:textFill>
              </w:rPr>
              <w:t>NH</w:t>
            </w:r>
            <w:r>
              <w:rPr>
                <w:rFonts w:ascii="Times New Roman" w:hAnsi="Times New Roman" w:eastAsia="宋体" w:cs="Times New Roman"/>
                <w:b/>
                <w:color w:val="000000" w:themeColor="text1"/>
                <w:sz w:val="24"/>
                <w:szCs w:val="24"/>
                <w:highlight w:val="none"/>
                <w:vertAlign w:val="subscript"/>
                <w:lang w:val="zh-CN"/>
                <w14:textFill>
                  <w14:solidFill>
                    <w14:schemeClr w14:val="tx1"/>
                  </w14:solidFill>
                </w14:textFill>
              </w:rPr>
              <w:t>3</w:t>
            </w:r>
            <w:r>
              <w:rPr>
                <w:rFonts w:ascii="Times New Roman" w:hAnsi="Times New Roman" w:eastAsia="宋体" w:cs="Times New Roman"/>
                <w:b/>
                <w:color w:val="000000" w:themeColor="text1"/>
                <w:sz w:val="24"/>
                <w:szCs w:val="24"/>
                <w:highlight w:val="none"/>
                <w:lang w:val="zh-CN"/>
                <w14:textFill>
                  <w14:solidFill>
                    <w14:schemeClr w14:val="tx1"/>
                  </w14:solidFill>
                </w14:textFill>
              </w:rPr>
              <w:t>-N：</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4032</w:t>
            </w:r>
            <w:r>
              <w:rPr>
                <w:rFonts w:ascii="Times New Roman" w:hAnsi="Times New Roman" w:eastAsia="宋体" w:cs="Times New Roman"/>
                <w:color w:val="000000" w:themeColor="text1"/>
                <w:sz w:val="24"/>
                <w:szCs w:val="24"/>
                <w:highlight w:val="none"/>
                <w:lang w:val="zh-CN"/>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lang w:val="zh-CN"/>
                <w14:textFill>
                  <w14:solidFill>
                    <w14:schemeClr w14:val="tx1"/>
                  </w14:solidFill>
                </w14:textFill>
              </w:rPr>
              <w:t>3</w:t>
            </w:r>
            <w:r>
              <w:rPr>
                <w:rFonts w:ascii="Times New Roman" w:hAnsi="Times New Roman" w:eastAsia="宋体" w:cs="Times New Roman"/>
                <w:color w:val="000000" w:themeColor="text1"/>
                <w:sz w:val="24"/>
                <w:szCs w:val="24"/>
                <w:highlight w:val="none"/>
                <w:lang w:val="zh-CN"/>
                <w14:textFill>
                  <w14:solidFill>
                    <w14:schemeClr w14:val="tx1"/>
                  </w14:solidFill>
                </w14:textFill>
              </w:rPr>
              <w:t>/a）×</w:t>
            </w:r>
            <w:r>
              <w:rPr>
                <w:rFonts w:ascii="Times New Roman" w:hAnsi="Times New Roman" w:eastAsia="宋体" w:cs="Times New Roman"/>
                <w:color w:val="000000" w:themeColor="text1"/>
                <w:sz w:val="24"/>
                <w:szCs w:val="24"/>
                <w:highlight w:val="none"/>
                <w14:textFill>
                  <w14:solidFill>
                    <w14:schemeClr w14:val="tx1"/>
                  </w14:solidFill>
                </w14:textFill>
              </w:rPr>
              <w:t>5</w:t>
            </w:r>
            <w:r>
              <w:rPr>
                <w:rFonts w:ascii="Times New Roman" w:hAnsi="Times New Roman" w:eastAsia="宋体" w:cs="Times New Roman"/>
                <w:color w:val="000000" w:themeColor="text1"/>
                <w:sz w:val="24"/>
                <w:szCs w:val="24"/>
                <w:highlight w:val="none"/>
                <w:lang w:val="zh-CN"/>
                <w14:textFill>
                  <w14:solidFill>
                    <w14:schemeClr w14:val="tx1"/>
                  </w14:solidFill>
                </w14:textFill>
              </w:rPr>
              <w:t>（mg/L）/1000000=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0.020</w:t>
            </w:r>
            <w:r>
              <w:rPr>
                <w:rFonts w:ascii="Times New Roman" w:hAnsi="Times New Roman" w:eastAsia="宋体" w:cs="Times New Roman"/>
                <w:color w:val="000000" w:themeColor="text1"/>
                <w:sz w:val="24"/>
                <w:szCs w:val="24"/>
                <w:highlight w:val="none"/>
                <w:lang w:val="zh-CN"/>
                <w14:textFill>
                  <w14:solidFill>
                    <w14:schemeClr w14:val="tx1"/>
                  </w14:solidFill>
                </w14:textFill>
              </w:rPr>
              <w:t>（t/a）</w:t>
            </w:r>
          </w:p>
          <w:p w14:paraId="20F4C819">
            <w:pPr>
              <w:spacing w:line="500" w:lineRule="exact"/>
              <w:ind w:firstLine="480" w:firstLineChars="200"/>
              <w:rPr>
                <w:rFonts w:hint="eastAsia" w:ascii="Times New Roman" w:hAnsi="Times New Roman" w:eastAsia="宋体"/>
                <w:color w:val="000000" w:themeColor="text1"/>
                <w:kern w:val="0"/>
                <w:sz w:val="24"/>
                <w:szCs w:val="24"/>
                <w:highlight w:val="none"/>
                <w14:textFill>
                  <w14:solidFill>
                    <w14:schemeClr w14:val="tx1"/>
                  </w14:solidFill>
                </w14:textFill>
              </w:rPr>
            </w:pPr>
          </w:p>
          <w:p w14:paraId="57136A4F">
            <w:pPr>
              <w:spacing w:line="500" w:lineRule="exact"/>
              <w:ind w:firstLine="480" w:firstLineChars="200"/>
              <w:rPr>
                <w:rFonts w:hint="eastAsia" w:ascii="Times New Roman" w:hAnsi="Times New Roman" w:eastAsia="宋体"/>
                <w:color w:val="000000" w:themeColor="text1"/>
                <w:kern w:val="0"/>
                <w:sz w:val="24"/>
                <w:szCs w:val="24"/>
                <w:highlight w:val="none"/>
                <w14:textFill>
                  <w14:solidFill>
                    <w14:schemeClr w14:val="tx1"/>
                  </w14:solidFill>
                </w14:textFill>
              </w:rPr>
            </w:pPr>
          </w:p>
          <w:p w14:paraId="5ACEEA2F">
            <w:pPr>
              <w:spacing w:line="500" w:lineRule="exact"/>
              <w:ind w:firstLine="480" w:firstLineChars="200"/>
              <w:rPr>
                <w:rFonts w:hint="eastAsia" w:ascii="Times New Roman" w:hAnsi="Times New Roman" w:eastAsia="宋体"/>
                <w:color w:val="000000" w:themeColor="text1"/>
                <w:kern w:val="0"/>
                <w:sz w:val="24"/>
                <w:szCs w:val="24"/>
                <w:highlight w:val="none"/>
                <w14:textFill>
                  <w14:solidFill>
                    <w14:schemeClr w14:val="tx1"/>
                  </w14:solidFill>
                </w14:textFill>
              </w:rPr>
            </w:pPr>
          </w:p>
          <w:p w14:paraId="1783B859">
            <w:pPr>
              <w:spacing w:line="500" w:lineRule="exact"/>
              <w:ind w:firstLine="480" w:firstLineChars="200"/>
              <w:rPr>
                <w:rFonts w:hint="eastAsia" w:ascii="Times New Roman" w:hAnsi="Times New Roman" w:eastAsia="宋体"/>
                <w:color w:val="000000" w:themeColor="text1"/>
                <w:kern w:val="0"/>
                <w:sz w:val="24"/>
                <w:szCs w:val="24"/>
                <w:highlight w:val="none"/>
                <w14:textFill>
                  <w14:solidFill>
                    <w14:schemeClr w14:val="tx1"/>
                  </w14:solidFill>
                </w14:textFill>
              </w:rPr>
            </w:pPr>
          </w:p>
          <w:p w14:paraId="6FA3CA25">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444D0D52">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574F1484">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21E62005">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0046D8D6">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728E0C2B">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7966C80B">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520DE72A">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4C695CB0">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337043D4">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6752E658">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7C3D20D0">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24694997">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728E3BA0">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p w14:paraId="375CC93B">
            <w:pPr>
              <w:spacing w:line="500" w:lineRule="exact"/>
              <w:ind w:firstLine="480" w:firstLineChars="200"/>
              <w:rPr>
                <w:rFonts w:hint="eastAsia" w:ascii="Times New Roman" w:hAnsi="Times New Roman" w:eastAsia="宋体"/>
                <w:color w:val="000000" w:themeColor="text1"/>
                <w:sz w:val="24"/>
                <w:szCs w:val="21"/>
                <w:highlight w:val="none"/>
                <w:lang w:eastAsia="zh-CN"/>
                <w14:textFill>
                  <w14:solidFill>
                    <w14:schemeClr w14:val="tx1"/>
                  </w14:solidFill>
                </w14:textFill>
              </w:rPr>
            </w:pPr>
          </w:p>
        </w:tc>
      </w:tr>
    </w:tbl>
    <w:p w14:paraId="020AC42E">
      <w:pPr>
        <w:rPr>
          <w:rFonts w:ascii="Times New Roman" w:hAnsi="Times New Roman" w:eastAsia="宋体"/>
          <w:color w:val="000000" w:themeColor="text1"/>
          <w:kern w:val="0"/>
          <w:sz w:val="24"/>
          <w:szCs w:val="24"/>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C52761A">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15" w:name="_Toc80643344"/>
      <w:r>
        <w:rPr>
          <w:rFonts w:ascii="Times New Roman" w:hAnsi="Times New Roman" w:eastAsia="宋体"/>
          <w:b/>
          <w:bCs/>
          <w:snapToGrid w:val="0"/>
          <w:color w:val="000000" w:themeColor="text1"/>
          <w:kern w:val="0"/>
          <w:sz w:val="36"/>
          <w:szCs w:val="32"/>
          <w:highlight w:val="none"/>
          <w14:textFill>
            <w14:solidFill>
              <w14:schemeClr w14:val="tx1"/>
            </w14:solidFill>
          </w14:textFill>
        </w:rPr>
        <w:t>四、</w:t>
      </w:r>
      <w:bookmarkEnd w:id="15"/>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主要环境影响和保护措施</w:t>
      </w:r>
    </w:p>
    <w:tbl>
      <w:tblPr>
        <w:tblStyle w:val="2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911"/>
        <w:gridCol w:w="8183"/>
      </w:tblGrid>
      <w:tr w14:paraId="6AA002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3" w:hRule="atLeast"/>
          <w:jc w:val="center"/>
        </w:trPr>
        <w:tc>
          <w:tcPr>
            <w:tcW w:w="500" w:type="pct"/>
            <w:tcMar>
              <w:left w:w="28" w:type="dxa"/>
              <w:right w:w="28" w:type="dxa"/>
            </w:tcMar>
            <w:vAlign w:val="center"/>
          </w:tcPr>
          <w:p w14:paraId="227ECDF0">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 w:val="24"/>
                <w:szCs w:val="21"/>
                <w:highlight w:val="none"/>
                <w14:textFill>
                  <w14:solidFill>
                    <w14:schemeClr w14:val="tx1"/>
                  </w14:solidFill>
                </w14:textFill>
              </w:rPr>
            </w:pPr>
            <w:bookmarkStart w:id="16" w:name="_Hlk49796138"/>
            <w:r>
              <w:rPr>
                <w:rFonts w:ascii="Times New Roman" w:hAnsi="Times New Roman" w:eastAsia="宋体"/>
                <w:bCs/>
                <w:color w:val="000000" w:themeColor="text1"/>
                <w:spacing w:val="10"/>
                <w:sz w:val="24"/>
                <w:szCs w:val="21"/>
                <w:highlight w:val="none"/>
                <w14:textFill>
                  <w14:solidFill>
                    <w14:schemeClr w14:val="tx1"/>
                  </w14:solidFill>
                </w14:textFill>
              </w:rPr>
              <w:t>施工期环境</w:t>
            </w:r>
            <w:bookmarkEnd w:id="16"/>
            <w:r>
              <w:rPr>
                <w:rFonts w:hint="eastAsia" w:ascii="Times New Roman" w:hAnsi="Times New Roman" w:eastAsia="宋体"/>
                <w:bCs/>
                <w:color w:val="000000" w:themeColor="text1"/>
                <w:spacing w:val="10"/>
                <w:sz w:val="24"/>
                <w:szCs w:val="21"/>
                <w:highlight w:val="none"/>
                <w14:textFill>
                  <w14:solidFill>
                    <w14:schemeClr w14:val="tx1"/>
                  </w14:solidFill>
                </w14:textFill>
              </w:rPr>
              <w:t>保护措施</w:t>
            </w:r>
          </w:p>
        </w:tc>
        <w:tc>
          <w:tcPr>
            <w:tcW w:w="4487" w:type="pct"/>
          </w:tcPr>
          <w:p w14:paraId="12432152">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一、废气</w:t>
            </w:r>
          </w:p>
          <w:p w14:paraId="13A1DDF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结合项目施工特点及施工内容，项目施工期大气污染源主要来自于以下方面：①建筑材料的现场搬运、堆放及清理过程产生扬尘，场地平整过程、各建筑物建设与装修过程产生扬尘；②人来车往造成的现场施工区二次扬尘；③运输车辆、施工机械设备排放的少量无组织废气等。</w:t>
            </w:r>
          </w:p>
          <w:p w14:paraId="6CD2F98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运输车辆尾气及施工机械在运行中将产生燃油烟气，其中主要含有CO、NOx、THC等污染物，这些废气排放局限于施工现场和运输沿线，项目使用施工机械设备较少，污染物排放量小，且为非连续性的污染源，不会引起大的大气环境污染，因此对此废气可以不予考虑。</w:t>
            </w:r>
          </w:p>
          <w:p w14:paraId="6B98E3F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施工阶段产生的扬尘主要来源于建筑材料的起尘以及施工作业区的二次起尘。建筑材料的运输和堆放、灰土拌合等作业过程对施工现场局部区域产生颗粒物污染，其污染范围和程度与施工工艺、施工管理及气象条件等多种因素有关，先进的施工工艺和科学的施工管理，可基本将颗粒物污染范围控制在施工界内区域。据有关调查显示，施工作业现场扬尘主要来自于运输车辆在行驶过程中产生的扬尘，其产生量约占工地扬尘总量的60%。在同样路面清洁程度条件下，车速越快，扬尘量越大；在同样车速情况下，路面越脏，扬尘量越大。因此限速行驶及保持路面清洁是减少运输车辆动力起尘的有效办法。</w:t>
            </w:r>
          </w:p>
          <w:p w14:paraId="43884D3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治理措施：</w:t>
            </w:r>
          </w:p>
          <w:p w14:paraId="2EC44CE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①在施工区域四周布设密目防尘网，施工现场架设2.5~3m围墙，全封闭施工作业。</w:t>
            </w:r>
          </w:p>
          <w:p w14:paraId="344CE2C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②要求施工单位文明施工，定期对作业区以及整个厂区地面进行洒水，并对撒落在路面的渣土及时清除，清理阶段做到先洒水后清扫；</w:t>
            </w:r>
          </w:p>
          <w:p w14:paraId="4B57A73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③施工工序产生的少量建筑渣土及时清运到指定场所，避免造成二次起尘；施工严格按照正规操作规程进行操作，严禁乱抛、乱卸。</w:t>
            </w:r>
          </w:p>
          <w:p w14:paraId="66D24C6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④水泥、石灰等散体材料运输过程中必须进行覆盖。堆放时采用入库或严密遮盖措施存放。</w:t>
            </w:r>
          </w:p>
          <w:p w14:paraId="6DDD6B9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⑤建筑渣土运输车辆必须覆盖上路，以毡布覆盖，防止建筑垃圾的清运对沿途大气环境产生污染。</w:t>
            </w:r>
          </w:p>
          <w:p w14:paraId="5434664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⑥在项目场区对施工车辆必须实施限速行驶。</w:t>
            </w:r>
          </w:p>
          <w:p w14:paraId="4CDC84E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⑦同时，施工单位还需严格按照四川省人民政府办公厅“关于加强灰霾污染防治的通知”（川办发〔2013〕32号）和《四川省&lt;中华人民共和国大气污染防治法&gt;实施办法》中的相关要求加强施工场地扬尘的控制</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即：必须规范打围，保持干净整洁、必须设置出场车辆高压冲洗设施、必须硬化主要施工道路、出入口、必须湿法作业、必须及时清运建筑垃圾、必须使用800目密目网覆盖裸土、建渣、必须分类有序堆码施工材料、必须规范张贴非道路移动机械环保标识、必须安装扬尘在线监测设备、必须安装高清视频监控设备；不准车辆带泥出门，不准运渣车辆冒顶装载、不准使用名录外运渣车、不准现场搅拌混凝土、砂浆、不准露天切割、不准高处抛洒建筑垃圾、不准场地积水、积泥、积尘、不准焚烧废弃物、不准干扰扬尘监测设备运行、不准干扰视频监控设备。</w:t>
            </w:r>
          </w:p>
          <w:p w14:paraId="32F930C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采取上述措施后，项目施工作业对大气污染可接受，不会引起较大的污染问题。可以达到《四川省施工场地扬尘排放标准》（DB512682-2020）表1中扬尘排放限值。</w:t>
            </w:r>
          </w:p>
          <w:p w14:paraId="5187B13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二、废水</w:t>
            </w:r>
          </w:p>
          <w:p w14:paraId="1EFE15F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 xml:space="preserve">施工期的废水主要来源为两部分：一是工程建筑施工机械冲洗废水，二是施工人员产生的生活污水。 </w:t>
            </w:r>
          </w:p>
          <w:p w14:paraId="45DFA69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施工废水：项目施工作业过程中产生一定量的施工机械冲洗废水，主要含石油类、SS。本环评要求施工期应设置临时沉淀池（3.0m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），施工机械冲洗废水经沉淀池收集处理后回用或施工期间洒水抑尘，不外排。</w:t>
            </w:r>
          </w:p>
          <w:p w14:paraId="10FB7C9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生活污水：项目施工高峰期人员人数约40人，不设置施工营地，施工队租赁附近民房，生活水量按照平均40L/人</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d计算，平均每天用水量为1.6m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/d，废水产生量为1.36m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/d，生活污水依托租赁民房已建化粪池进行处理。</w:t>
            </w:r>
          </w:p>
          <w:p w14:paraId="6F5D752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三、噪声</w:t>
            </w:r>
          </w:p>
          <w:p w14:paraId="762E3FB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本项目施工噪声主要来源于各种施工机械和运输车辆产生的作业噪声。</w:t>
            </w:r>
          </w:p>
          <w:p w14:paraId="79C33FA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拟采取的措施：施工期的噪声主要来源于设备安装噪声和车辆噪声，采取如下噪声控制措施：①合理安排设备安装时间，严禁夜间施工。②材料运输等汽车进场安排专人指挥，场内禁止运输车辆鸣笛。协调好运输建筑垃圾和原料的车辆通行时间，避免交通堵塞。运输路线尽量避开人群聚居区；夜间运输要采取减速缓行、禁止鸣笛等措施，确保运输噪声不扰民。③合理布置施工总平面布置图。将高噪声设备合理布置于施工场地中间。④加强施工人员的管理和教育，施工中减少不必要的金属敲击声。⑤在项目施工前，建设单位应与项目所在地周边居民通过协调会的形式协调好与周边的关系，随时收集周围民众的意见反馈，减免施工污染纠纷的产生；在施工期间，除采取必要的降噪措施外，建设单位还应加强管理，避免突发性噪声发生。</w:t>
            </w:r>
          </w:p>
          <w:p w14:paraId="56E065B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综上，噪声在采取相应的管理措施后，施工期间的场界噪声满足《建筑施工厂界环境噪声排放标准》（GB12523-2011）标准的要求，不会对外环境造成较大影响。</w:t>
            </w:r>
          </w:p>
          <w:p w14:paraId="1060244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四、固体废物</w:t>
            </w:r>
          </w:p>
          <w:p w14:paraId="2C528F2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项目施工期产生的固体废物主要为施工过程中产生的建筑弃渣、建筑废料和施工人员产生的生活垃圾。</w:t>
            </w:r>
          </w:p>
          <w:p w14:paraId="6330791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建筑弃渣：定期清运至公路施工弃渣场处置。</w:t>
            </w:r>
          </w:p>
          <w:p w14:paraId="6591F02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建筑废料：分类回收，外售废品回收站；对不能回收的建筑废料应集中堆放，定期清运至指定垃圾堆场。</w:t>
            </w:r>
          </w:p>
          <w:p w14:paraId="255D6D5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生活垃圾：在施工场地内设置垃圾收集桶，产生的生活垃圾经垃圾收集桶集中收集后运至各乡镇垃圾收集点。</w:t>
            </w:r>
          </w:p>
          <w:p w14:paraId="795B1CC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项目施工期结束后，影响将消除，对周边环境影响较小。</w:t>
            </w:r>
          </w:p>
          <w:p w14:paraId="1AC4820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五、生态环境</w:t>
            </w:r>
          </w:p>
          <w:p w14:paraId="5D28105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施工期生态环境防治措施如下：</w:t>
            </w:r>
          </w:p>
          <w:p w14:paraId="6D00EBD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1、在施工作业过程中，不得随意开挖，强化生态环境保护意识，严格控制施工作业区，不得随意扩大范围，尽量减少对植被的破坏。</w:t>
            </w:r>
          </w:p>
          <w:p w14:paraId="3658611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2、合理利用场地内原有植被设置绿化带，尽量保留可利用植被，降低生态影响。</w:t>
            </w:r>
          </w:p>
          <w:p w14:paraId="7434A17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3、项目实施后，对厂区内进行绿化，种植花草树木，尽量恢复区域绿化。</w:t>
            </w:r>
          </w:p>
        </w:tc>
      </w:tr>
      <w:tr w14:paraId="1EDD9F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23" w:hRule="atLeast"/>
          <w:jc w:val="center"/>
        </w:trPr>
        <w:tc>
          <w:tcPr>
            <w:tcW w:w="500" w:type="pct"/>
            <w:tcMar>
              <w:left w:w="28" w:type="dxa"/>
              <w:right w:w="28" w:type="dxa"/>
            </w:tcMar>
            <w:vAlign w:val="center"/>
          </w:tcPr>
          <w:p w14:paraId="57AA3724">
            <w:pPr>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pacing w:val="10"/>
                <w:sz w:val="24"/>
                <w:szCs w:val="21"/>
                <w:highlight w:val="none"/>
                <w14:textFill>
                  <w14:solidFill>
                    <w14:schemeClr w14:val="tx1"/>
                  </w14:solidFill>
                </w14:textFill>
              </w:rPr>
            </w:pPr>
            <w:r>
              <w:rPr>
                <w:rFonts w:hint="eastAsia" w:ascii="Times New Roman" w:hAnsi="Times New Roman" w:eastAsia="宋体"/>
                <w:bCs/>
                <w:color w:val="000000" w:themeColor="text1"/>
                <w:spacing w:val="10"/>
                <w:sz w:val="24"/>
                <w:szCs w:val="21"/>
                <w:highlight w:val="none"/>
                <w14:textFill>
                  <w14:solidFill>
                    <w14:schemeClr w14:val="tx1"/>
                  </w14:solidFill>
                </w14:textFill>
              </w:rPr>
              <w:t>运营期环境影响和保护措施</w:t>
            </w:r>
          </w:p>
        </w:tc>
        <w:tc>
          <w:tcPr>
            <w:tcW w:w="4487" w:type="pct"/>
          </w:tcPr>
          <w:p w14:paraId="153C33A1">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一、大气污染物排放及治理措施</w:t>
            </w:r>
          </w:p>
          <w:p w14:paraId="5F8DDFFE">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运营期产生的大气污染物主要为生产过程中产生的粉尘。主要包括砂石等骨料在装卸、破碎、筛分粉尘；输送过程中产生的粉尘；散装水泥和粉煤灰运输车抽料放空（即由罐车通过气力输送转至筒仓）产生的粉尘；搅拌机搅拌产生的粉尘；原料砂石堆场扬尘；汽车运输尾气、扬尘；焊接烟尘等。</w:t>
            </w:r>
          </w:p>
          <w:p w14:paraId="236AA6E6">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1、原料装卸</w:t>
            </w:r>
            <w:r>
              <w:rPr>
                <w:rFonts w:hint="eastAsia"/>
                <w:b/>
                <w:bCs/>
                <w:color w:val="000000" w:themeColor="text1"/>
                <w:sz w:val="24"/>
                <w:szCs w:val="24"/>
                <w:highlight w:val="none"/>
                <w:lang w:eastAsia="zh-CN"/>
                <w14:textFill>
                  <w14:solidFill>
                    <w14:schemeClr w14:val="tx1"/>
                  </w14:solidFill>
                </w14:textFill>
              </w:rPr>
              <w:t>、堆存</w:t>
            </w:r>
            <w:r>
              <w:rPr>
                <w:rFonts w:hint="eastAsia"/>
                <w:b/>
                <w:bCs/>
                <w:color w:val="000000" w:themeColor="text1"/>
                <w:sz w:val="24"/>
                <w:szCs w:val="24"/>
                <w:highlight w:val="none"/>
                <w14:textFill>
                  <w14:solidFill>
                    <w14:schemeClr w14:val="tx1"/>
                  </w14:solidFill>
                </w14:textFill>
              </w:rPr>
              <w:t>扬尘</w:t>
            </w:r>
          </w:p>
          <w:p w14:paraId="07A2503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46814F1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外购砂石存在运到原料存放间时，卸的过程中会产生一定量的扬尘。</w:t>
            </w:r>
          </w:p>
          <w:p w14:paraId="297A8DC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w:t>
            </w:r>
          </w:p>
          <w:p w14:paraId="6EBCBFC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工业企业固体物料堆存颗粒物包括装卸场尘和风蚀扬尘，颗粒物产生量核算公式如下： </w:t>
            </w:r>
          </w:p>
          <w:p w14:paraId="28859D19">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4213860" cy="244475"/>
                  <wp:effectExtent l="0" t="0" r="15240" b="3175"/>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27"/>
                          <a:stretch>
                            <a:fillRect/>
                          </a:stretch>
                        </pic:blipFill>
                        <pic:spPr>
                          <a:xfrm>
                            <a:off x="0" y="0"/>
                            <a:ext cx="4213860" cy="244475"/>
                          </a:xfrm>
                          <a:prstGeom prst="rect">
                            <a:avLst/>
                          </a:prstGeom>
                          <a:noFill/>
                          <a:ln>
                            <a:noFill/>
                          </a:ln>
                        </pic:spPr>
                      </pic:pic>
                    </a:graphicData>
                  </a:graphic>
                </wp:inline>
              </w:drawing>
            </w:r>
          </w:p>
          <w:p w14:paraId="16029B84">
            <w:pPr>
              <w:pStyle w:val="61"/>
              <w:keepNext w:val="0"/>
              <w:keepLines w:val="0"/>
              <w:pageBreakBefore w:val="0"/>
              <w:widowControl w:val="0"/>
              <w:kinsoku/>
              <w:wordWrap/>
              <w:overflowPunct/>
              <w:topLinePunct w:val="0"/>
              <w:autoSpaceDE/>
              <w:autoSpaceDN/>
              <w:bidi w:val="0"/>
              <w:adjustRightInd w:val="0"/>
              <w:snapToGrid w:val="0"/>
              <w:spacing w:before="0" w:line="360" w:lineRule="auto"/>
              <w:ind w:firstLine="42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式中：P 指颗粒物产生量（单位：吨）；</w:t>
            </w:r>
          </w:p>
          <w:p w14:paraId="1DC87F88">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ZC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y</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指装卸扬尘产生量（单位：吨）；</w:t>
            </w:r>
          </w:p>
          <w:p w14:paraId="03AA02E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FC</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y</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指风蚀扬尘产生量（单位：吨）；</w:t>
            </w:r>
          </w:p>
          <w:p w14:paraId="5140A48B">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N</w:t>
            </w:r>
            <w:r>
              <w:rPr>
                <w:rFonts w:hint="default" w:ascii="Times New Roman" w:hAnsi="Times New Roman" w:eastAsia="宋体" w:cs="Times New Roman"/>
                <w:color w:val="000000" w:themeColor="text1"/>
                <w:sz w:val="24"/>
                <w:szCs w:val="24"/>
                <w:highlight w:val="none"/>
                <w:vertAlign w:val="subscript"/>
                <w:lang w:val="en-US" w:eastAsia="zh-CN"/>
                <w14:textFill>
                  <w14:solidFill>
                    <w14:schemeClr w14:val="tx1"/>
                  </w14:solidFill>
                </w14:textFill>
              </w:rPr>
              <w:t>C</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指年物料运载车次（单位：车）</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碎石加工原料</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年运输车次约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4310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、水稳站</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原料</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年运输车次约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7500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、拌和站</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原料</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年运输车次约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8950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395F8EBF">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D 指单车平均运载量（单位：吨/车）</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吨；</w:t>
            </w:r>
          </w:p>
          <w:p w14:paraId="1BBE8576">
            <w:pPr>
              <w:pStyle w:val="61"/>
              <w:keepNext w:val="0"/>
              <w:keepLines w:val="0"/>
              <w:pageBreakBefore w:val="0"/>
              <w:widowControl w:val="0"/>
              <w:kinsoku/>
              <w:wordWrap/>
              <w:overflowPunct/>
              <w:topLinePunct w:val="0"/>
              <w:autoSpaceDE/>
              <w:autoSpaceDN/>
              <w:bidi w:val="0"/>
              <w:adjustRightInd w:val="0"/>
              <w:snapToGrid w:val="0"/>
              <w:spacing w:before="0" w:line="360" w:lineRule="auto"/>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a/b</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指装卸扬尘概化系数（单位：千克/吨），a 指各省风速概化系数，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附录1，</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四川省</w:t>
            </w:r>
            <w:r>
              <w:rPr>
                <w:rFonts w:hint="default" w:ascii="Times New Roman" w:hAnsi="Times New Roman" w:eastAsia="宋体" w:cs="Times New Roman"/>
                <w:color w:val="000000" w:themeColor="text1"/>
                <w:sz w:val="24"/>
                <w:szCs w:val="24"/>
                <w:highlight w:val="none"/>
                <w14:textFill>
                  <w14:solidFill>
                    <w14:schemeClr w14:val="tx1"/>
                  </w14:solidFill>
                </w14:textFill>
              </w:rPr>
              <w:t>风速概化系数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0.0006</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b 指物料含水率概化系数，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附录 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，骨料参照混合矿石含水率概化系数为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0.0084；</w:t>
            </w:r>
          </w:p>
          <w:p w14:paraId="46A77BB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E</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f</w:t>
            </w:r>
            <w:r>
              <w:rPr>
                <w:rFonts w:hint="default" w:ascii="Times New Roman" w:hAnsi="Times New Roman" w:eastAsia="宋体" w:cs="Times New Roman"/>
                <w:color w:val="000000" w:themeColor="text1"/>
                <w:sz w:val="24"/>
                <w:szCs w:val="24"/>
                <w:highlight w:val="none"/>
                <w14:textFill>
                  <w14:solidFill>
                    <w14:schemeClr w14:val="tx1"/>
                  </w14:solidFill>
                </w14:textFill>
              </w:rPr>
              <w:t xml:space="preserve"> 指堆场风蚀扬尘概化系数（单位：千克/平方米），</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根据</w:t>
            </w:r>
            <w:r>
              <w:rPr>
                <w:rFonts w:hint="default" w:ascii="Times New Roman" w:hAnsi="Times New Roman" w:eastAsia="宋体" w:cs="Times New Roman"/>
                <w:color w:val="000000" w:themeColor="text1"/>
                <w:sz w:val="24"/>
                <w:szCs w:val="24"/>
                <w:highlight w:val="none"/>
                <w14:textFill>
                  <w14:solidFill>
                    <w14:schemeClr w14:val="tx1"/>
                  </w14:solidFill>
                </w14:textFill>
              </w:rPr>
              <w:t>附录3</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参照混合矿石，</w:t>
            </w:r>
            <w:r>
              <w:rPr>
                <w:rFonts w:hint="default" w:ascii="Times New Roman" w:hAnsi="Times New Roman" w:eastAsia="宋体" w:cs="Times New Roman"/>
                <w:color w:val="000000" w:themeColor="text1"/>
                <w:sz w:val="24"/>
                <w:szCs w:val="24"/>
                <w:highlight w:val="none"/>
                <w14:textFill>
                  <w14:solidFill>
                    <w14:schemeClr w14:val="tx1"/>
                  </w14:solidFill>
                </w14:textFill>
              </w:rPr>
              <w:t>E</w:t>
            </w:r>
            <w:r>
              <w:rPr>
                <w:rFonts w:hint="default" w:ascii="Times New Roman" w:hAnsi="Times New Roman" w:eastAsia="宋体" w:cs="Times New Roman"/>
                <w:color w:val="000000" w:themeColor="text1"/>
                <w:sz w:val="24"/>
                <w:szCs w:val="24"/>
                <w:highlight w:val="none"/>
                <w:vertAlign w:val="subscript"/>
                <w14:textFill>
                  <w14:solidFill>
                    <w14:schemeClr w14:val="tx1"/>
                  </w14:solidFill>
                </w14:textFill>
              </w:rPr>
              <w:t>f</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w:t>
            </w:r>
          </w:p>
          <w:p w14:paraId="247F4C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S 指堆场占地面积（单位：平方米）。</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共设置三座</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，拌和站砂石料仓</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占地面积为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2880m</w:t>
            </w:r>
            <w:r>
              <w:rPr>
                <w:rFonts w:hint="eastAsia"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、水稳站砂石料仓</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占地面积为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960m</w:t>
            </w:r>
            <w:r>
              <w:rPr>
                <w:rFonts w:hint="eastAsia"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、碎石加工区砂石料仓</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占地面积为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816m</w:t>
            </w:r>
            <w:r>
              <w:rPr>
                <w:rFonts w:hint="eastAsia"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3F95960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经计算</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，本项目砂石料仓原料</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装卸、堆存扬尘产生量为</w:t>
            </w:r>
            <w:r>
              <w:rPr>
                <w:rFonts w:hint="eastAsia" w:cs="Times New Roman"/>
                <w:color w:val="000000" w:themeColor="text1"/>
                <w:sz w:val="24"/>
                <w:szCs w:val="24"/>
                <w:highlight w:val="none"/>
                <w:vertAlign w:val="baseline"/>
                <w:lang w:val="en-US" w:eastAsia="zh-CN"/>
                <w14:textFill>
                  <w14:solidFill>
                    <w14:schemeClr w14:val="tx1"/>
                  </w14:solidFill>
                </w14:textFill>
              </w:rPr>
              <w:t>44.4857</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t/a</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r>
              <w:rPr>
                <w:rFonts w:hint="eastAsia" w:cs="Times New Roman"/>
                <w:color w:val="000000" w:themeColor="text1"/>
                <w:sz w:val="24"/>
                <w:szCs w:val="24"/>
                <w:highlight w:val="none"/>
                <w:vertAlign w:val="baseline"/>
                <w:lang w:val="en-US" w:eastAsia="zh-CN"/>
                <w14:textFill>
                  <w14:solidFill>
                    <w14:schemeClr w14:val="tx1"/>
                  </w14:solidFill>
                </w14:textFill>
              </w:rPr>
              <w:t>平均12.7102</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kg/h</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2E618C7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（2）拟采取措施及排放情况</w:t>
            </w:r>
          </w:p>
          <w:p w14:paraId="37A5ADCB">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砂石料全部堆放在砂石料仓内，料仓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14:textFill>
                  <w14:solidFill>
                    <w14:schemeClr w14:val="tx1"/>
                  </w14:solidFill>
                </w14:textFill>
              </w:rPr>
              <w:t>配料仓（斗）均采用三面围挡+彩钢顶棚的形式设置</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14:textFill>
                  <w14:solidFill>
                    <w14:schemeClr w14:val="tx1"/>
                  </w14:solidFill>
                </w14:textFill>
              </w:rPr>
              <w:t>并在顶部设置有喷雾除尘装置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每个料仓设置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同时，</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项目内</w:t>
            </w:r>
            <w:r>
              <w:rPr>
                <w:rFonts w:hint="default" w:ascii="Times New Roman" w:hAnsi="Times New Roman" w:eastAsia="宋体" w:cs="Times New Roman"/>
                <w:color w:val="000000" w:themeColor="text1"/>
                <w:sz w:val="24"/>
                <w:szCs w:val="24"/>
                <w:highlight w:val="none"/>
                <w14:textFill>
                  <w14:solidFill>
                    <w14:schemeClr w14:val="tx1"/>
                  </w14:solidFill>
                </w14:textFill>
              </w:rPr>
              <w:t>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台移动式除尘雾炮机。卸料时将雾炮机喷雾口对准卸料处喷雾降尘，卸料完毕后继续喷雾1min再停止，</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砂石骨料</w:t>
            </w:r>
            <w:r>
              <w:rPr>
                <w:rFonts w:hint="default" w:ascii="Times New Roman" w:hAnsi="Times New Roman" w:eastAsia="宋体" w:cs="Times New Roman"/>
                <w:color w:val="000000" w:themeColor="text1"/>
                <w:sz w:val="24"/>
                <w:szCs w:val="22"/>
                <w:highlight w:val="none"/>
                <w14:textFill>
                  <w14:solidFill>
                    <w14:schemeClr w14:val="tx1"/>
                  </w14:solidFill>
                </w14:textFill>
              </w:rPr>
              <w:t>卸料粉尘经封闭车间阻隔及喷淋抑尘后无组织排放。</w:t>
            </w:r>
          </w:p>
          <w:p w14:paraId="4574B2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pacing w:val="-10"/>
                <w:sz w:val="24"/>
                <w:szCs w:val="24"/>
                <w:highlight w:val="none"/>
                <w:lang w:val="en-US"/>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附录4、附录5 粉尘控制措施控制效率级堆场类型控制效率如下：</w:t>
            </w:r>
          </w:p>
          <w:p w14:paraId="64012883">
            <w:pPr>
              <w:ind w:left="48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表4-</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2</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  粉尘控制措施控制效率级堆场类型控制效率</w:t>
            </w:r>
            <w:r>
              <w:rPr>
                <w:rFonts w:hint="default" w:ascii="Times New Roman" w:hAnsi="Times New Roman" w:eastAsia="宋体" w:cs="Times New Roman"/>
                <w:b/>
                <w:bCs/>
                <w:color w:val="000000" w:themeColor="text1"/>
                <w:szCs w:val="21"/>
                <w:highlight w:val="none"/>
                <w14:textFill>
                  <w14:solidFill>
                    <w14:schemeClr w14:val="tx1"/>
                  </w14:solidFill>
                </w14:textFill>
              </w:rPr>
              <w:t>表</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27"/>
              <w:gridCol w:w="1327"/>
              <w:gridCol w:w="1327"/>
              <w:gridCol w:w="1328"/>
              <w:gridCol w:w="1328"/>
              <w:gridCol w:w="1328"/>
            </w:tblGrid>
            <w:tr w14:paraId="63DE2A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7E94F25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序号</w:t>
                  </w:r>
                </w:p>
              </w:tc>
              <w:tc>
                <w:tcPr>
                  <w:tcW w:w="833" w:type="pct"/>
                  <w:noWrap w:val="0"/>
                  <w:vAlign w:val="center"/>
                </w:tcPr>
                <w:p w14:paraId="2AC8FA3E">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粉尘</w:t>
                  </w:r>
                  <w:r>
                    <w:rPr>
                      <w:rFonts w:hint="default" w:ascii="Times New Roman" w:hAnsi="Times New Roman" w:eastAsia="宋体" w:cs="Times New Roman"/>
                      <w:b/>
                      <w:color w:val="000000" w:themeColor="text1"/>
                      <w:sz w:val="21"/>
                      <w:szCs w:val="21"/>
                      <w:highlight w:val="none"/>
                      <w14:textFill>
                        <w14:solidFill>
                          <w14:schemeClr w14:val="tx1"/>
                        </w14:solidFill>
                      </w14:textFill>
                    </w:rPr>
                    <w:t>控制措施</w:t>
                  </w:r>
                </w:p>
              </w:tc>
              <w:tc>
                <w:tcPr>
                  <w:tcW w:w="833" w:type="pct"/>
                  <w:noWrap w:val="0"/>
                  <w:vAlign w:val="center"/>
                </w:tcPr>
                <w:p w14:paraId="4BDE800C">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控制效率</w:t>
                  </w:r>
                </w:p>
              </w:tc>
              <w:tc>
                <w:tcPr>
                  <w:tcW w:w="833" w:type="pct"/>
                  <w:noWrap w:val="0"/>
                  <w:vAlign w:val="center"/>
                </w:tcPr>
                <w:p w14:paraId="12BB4D7E">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序号</w:t>
                  </w:r>
                </w:p>
              </w:tc>
              <w:tc>
                <w:tcPr>
                  <w:tcW w:w="833" w:type="pct"/>
                  <w:noWrap w:val="0"/>
                  <w:vAlign w:val="center"/>
                </w:tcPr>
                <w:p w14:paraId="033DA79D">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zh-CN"/>
                      <w14:textFill>
                        <w14:solidFill>
                          <w14:schemeClr w14:val="tx1"/>
                        </w14:solidFill>
                      </w14:textFill>
                    </w:rPr>
                    <w:t>堆场类型</w:t>
                  </w:r>
                </w:p>
              </w:tc>
              <w:tc>
                <w:tcPr>
                  <w:tcW w:w="833" w:type="pct"/>
                  <w:noWrap w:val="0"/>
                  <w:vAlign w:val="center"/>
                </w:tcPr>
                <w:p w14:paraId="2D18FB8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控制效率</w:t>
                  </w:r>
                </w:p>
              </w:tc>
            </w:tr>
            <w:tr w14:paraId="2B86F6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71BF8491">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833" w:type="pct"/>
                  <w:noWrap w:val="0"/>
                  <w:vAlign w:val="center"/>
                </w:tcPr>
                <w:p w14:paraId="4A2ADE33">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洒水</w:t>
                  </w:r>
                </w:p>
              </w:tc>
              <w:tc>
                <w:tcPr>
                  <w:tcW w:w="833" w:type="pct"/>
                  <w:noWrap w:val="0"/>
                  <w:vAlign w:val="center"/>
                </w:tcPr>
                <w:p w14:paraId="1F7390C1">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74%</w:t>
                  </w:r>
                </w:p>
              </w:tc>
              <w:tc>
                <w:tcPr>
                  <w:tcW w:w="833" w:type="pct"/>
                  <w:noWrap w:val="0"/>
                  <w:vAlign w:val="center"/>
                </w:tcPr>
                <w:p w14:paraId="30517272">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w:t>
                  </w:r>
                </w:p>
              </w:tc>
              <w:tc>
                <w:tcPr>
                  <w:tcW w:w="833" w:type="pct"/>
                  <w:noWrap w:val="0"/>
                  <w:vAlign w:val="center"/>
                </w:tcPr>
                <w:p w14:paraId="7C28CE6A">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敞开式</w:t>
                  </w:r>
                </w:p>
              </w:tc>
              <w:tc>
                <w:tcPr>
                  <w:tcW w:w="833" w:type="pct"/>
                  <w:noWrap w:val="0"/>
                  <w:vAlign w:val="center"/>
                </w:tcPr>
                <w:p w14:paraId="77E9361A">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0%</w:t>
                  </w:r>
                </w:p>
              </w:tc>
            </w:tr>
            <w:tr w14:paraId="4DF86C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77079812">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833" w:type="pct"/>
                  <w:noWrap w:val="0"/>
                  <w:vAlign w:val="center"/>
                </w:tcPr>
                <w:p w14:paraId="10EFCABF">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围挡</w:t>
                  </w:r>
                </w:p>
              </w:tc>
              <w:tc>
                <w:tcPr>
                  <w:tcW w:w="833" w:type="pct"/>
                  <w:noWrap w:val="0"/>
                  <w:vAlign w:val="center"/>
                </w:tcPr>
                <w:p w14:paraId="6D920618">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60%</w:t>
                  </w:r>
                </w:p>
              </w:tc>
              <w:tc>
                <w:tcPr>
                  <w:tcW w:w="833" w:type="pct"/>
                  <w:noWrap w:val="0"/>
                  <w:vAlign w:val="center"/>
                </w:tcPr>
                <w:p w14:paraId="43F32E53">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w:t>
                  </w:r>
                </w:p>
              </w:tc>
              <w:tc>
                <w:tcPr>
                  <w:tcW w:w="833" w:type="pct"/>
                  <w:noWrap w:val="0"/>
                  <w:vAlign w:val="center"/>
                </w:tcPr>
                <w:p w14:paraId="41F0B7E2">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密闭式</w:t>
                  </w:r>
                </w:p>
              </w:tc>
              <w:tc>
                <w:tcPr>
                  <w:tcW w:w="833" w:type="pct"/>
                  <w:noWrap w:val="0"/>
                  <w:vAlign w:val="center"/>
                </w:tcPr>
                <w:p w14:paraId="1ACAD8E4">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99%</w:t>
                  </w:r>
                </w:p>
              </w:tc>
            </w:tr>
            <w:tr w14:paraId="274553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4007FCC7">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833" w:type="pct"/>
                  <w:noWrap w:val="0"/>
                  <w:vAlign w:val="center"/>
                </w:tcPr>
                <w:p w14:paraId="5831663E">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化学剂</w:t>
                  </w:r>
                </w:p>
              </w:tc>
              <w:tc>
                <w:tcPr>
                  <w:tcW w:w="833" w:type="pct"/>
                  <w:noWrap w:val="0"/>
                  <w:vAlign w:val="center"/>
                </w:tcPr>
                <w:p w14:paraId="40C23B6B">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88%</w:t>
                  </w:r>
                </w:p>
              </w:tc>
              <w:tc>
                <w:tcPr>
                  <w:tcW w:w="833" w:type="pct"/>
                  <w:noWrap w:val="0"/>
                  <w:vAlign w:val="center"/>
                </w:tcPr>
                <w:p w14:paraId="02D0B340">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3</w:t>
                  </w:r>
                </w:p>
              </w:tc>
              <w:tc>
                <w:tcPr>
                  <w:tcW w:w="833" w:type="pct"/>
                  <w:noWrap w:val="0"/>
                  <w:vAlign w:val="center"/>
                </w:tcPr>
                <w:p w14:paraId="08334B3F">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t>半敞开式</w:t>
                  </w:r>
                </w:p>
              </w:tc>
              <w:tc>
                <w:tcPr>
                  <w:tcW w:w="833" w:type="pct"/>
                  <w:noWrap w:val="0"/>
                  <w:vAlign w:val="center"/>
                </w:tcPr>
                <w:p w14:paraId="4579E455">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60%</w:t>
                  </w:r>
                </w:p>
              </w:tc>
            </w:tr>
            <w:tr w14:paraId="3204CC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595CCB23">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p>
              </w:tc>
              <w:tc>
                <w:tcPr>
                  <w:tcW w:w="833" w:type="pct"/>
                  <w:noWrap w:val="0"/>
                  <w:vAlign w:val="center"/>
                </w:tcPr>
                <w:p w14:paraId="100155C9">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编织覆盖</w:t>
                  </w:r>
                </w:p>
              </w:tc>
              <w:tc>
                <w:tcPr>
                  <w:tcW w:w="833" w:type="pct"/>
                  <w:noWrap w:val="0"/>
                  <w:vAlign w:val="center"/>
                </w:tcPr>
                <w:p w14:paraId="7BA7842C">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86%</w:t>
                  </w:r>
                </w:p>
              </w:tc>
              <w:tc>
                <w:tcPr>
                  <w:tcW w:w="833" w:type="pct"/>
                  <w:noWrap w:val="0"/>
                  <w:vAlign w:val="center"/>
                </w:tcPr>
                <w:p w14:paraId="30988751">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833" w:type="pct"/>
                  <w:noWrap w:val="0"/>
                  <w:vAlign w:val="center"/>
                </w:tcPr>
                <w:p w14:paraId="282CBCAF">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p>
              </w:tc>
              <w:tc>
                <w:tcPr>
                  <w:tcW w:w="833" w:type="pct"/>
                  <w:noWrap w:val="0"/>
                  <w:vAlign w:val="center"/>
                </w:tcPr>
                <w:p w14:paraId="143C21DD">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p>
              </w:tc>
            </w:tr>
            <w:tr w14:paraId="42BCDB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833" w:type="pct"/>
                  <w:noWrap w:val="0"/>
                  <w:vAlign w:val="center"/>
                </w:tcPr>
                <w:p w14:paraId="5BAE3EB3">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833" w:type="pct"/>
                  <w:noWrap w:val="0"/>
                  <w:vAlign w:val="center"/>
                </w:tcPr>
                <w:p w14:paraId="01E2FEC6">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出入车辆冲洗</w:t>
                  </w:r>
                </w:p>
              </w:tc>
              <w:tc>
                <w:tcPr>
                  <w:tcW w:w="833" w:type="pct"/>
                  <w:noWrap w:val="0"/>
                  <w:vAlign w:val="center"/>
                </w:tcPr>
                <w:p w14:paraId="1413CA8E">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78%</w:t>
                  </w:r>
                </w:p>
              </w:tc>
              <w:tc>
                <w:tcPr>
                  <w:tcW w:w="833" w:type="pct"/>
                  <w:noWrap w:val="0"/>
                  <w:vAlign w:val="center"/>
                </w:tcPr>
                <w:p w14:paraId="115056C8">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833" w:type="pct"/>
                  <w:noWrap w:val="0"/>
                  <w:vAlign w:val="center"/>
                </w:tcPr>
                <w:p w14:paraId="565CA029">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p>
              </w:tc>
              <w:tc>
                <w:tcPr>
                  <w:tcW w:w="833" w:type="pct"/>
                  <w:noWrap w:val="0"/>
                  <w:vAlign w:val="center"/>
                </w:tcPr>
                <w:p w14:paraId="6B05B5C1">
                  <w:pPr>
                    <w:keepNext w:val="0"/>
                    <w:keepLines w:val="0"/>
                    <w:pageBreakBefore w:val="0"/>
                    <w:kinsoku/>
                    <w:wordWrap/>
                    <w:overflowPunct/>
                    <w:topLinePunct w:val="0"/>
                    <w:bidi w:val="0"/>
                    <w:adjustRightInd w:val="0"/>
                    <w:snapToGrid w:val="0"/>
                    <w:jc w:val="center"/>
                    <w:textAlignment w:val="auto"/>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p>
              </w:tc>
            </w:tr>
          </w:tbl>
          <w:p w14:paraId="6F432732">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Chars="0" w:firstLine="440" w:firstLineChars="200"/>
              <w:jc w:val="both"/>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pacing w:val="-10"/>
                <w:sz w:val="24"/>
                <w:szCs w:val="24"/>
                <w:highlight w:val="none"/>
                <w:lang w:eastAsia="zh-CN"/>
                <w14:textFill>
                  <w14:solidFill>
                    <w14:schemeClr w14:val="tx1"/>
                  </w14:solidFill>
                </w14:textFill>
              </w:rPr>
              <w:t>本项目同时采取洒水（喷雾降尘装置）、围挡、出入车辆冲洗粉尘控制措施，粉尘综合控制效率为【</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1—（1—74%）×（1—60%）×（1—78%）</w:t>
            </w:r>
            <w:r>
              <w:rPr>
                <w:rFonts w:hint="default" w:ascii="Times New Roman" w:hAnsi="Times New Roman" w:eastAsia="宋体" w:cs="Times New Roman"/>
                <w:b w:val="0"/>
                <w:bCs/>
                <w:color w:val="000000" w:themeColor="text1"/>
                <w:spacing w:val="-10"/>
                <w:sz w:val="24"/>
                <w:szCs w:val="24"/>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=98.592%，本项目堆场类型均为半敞开式</w:t>
            </w:r>
            <w:r>
              <w:rPr>
                <w:rFonts w:hint="eastAsia"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（除进出口通道外，其余封闭）</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，控制效率为60%。</w:t>
            </w:r>
          </w:p>
          <w:p w14:paraId="6794B33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根据《全国第二次污染源普查工业源产排污系数手册》附表2 固体物料堆存颗粒物产排污核算系数手册，工业企业固体物料堆场颗粒物排放量核算公式如下： </w:t>
            </w:r>
          </w:p>
          <w:p w14:paraId="3924AADF">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Cs w:val="24"/>
                <w:highlight w:val="none"/>
                <w14:textFill>
                  <w14:solidFill>
                    <w14:schemeClr w14:val="tx1"/>
                  </w14:solidFill>
                </w14:textFill>
              </w:rPr>
              <w:drawing>
                <wp:inline distT="0" distB="0" distL="114300" distR="114300">
                  <wp:extent cx="2180590" cy="188595"/>
                  <wp:effectExtent l="0" t="0" r="10160" b="1905"/>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pic:cNvPicPr>
                        </pic:nvPicPr>
                        <pic:blipFill>
                          <a:blip r:embed="rId28"/>
                          <a:stretch>
                            <a:fillRect/>
                          </a:stretch>
                        </pic:blipFill>
                        <pic:spPr>
                          <a:xfrm>
                            <a:off x="0" y="0"/>
                            <a:ext cx="2180590" cy="188595"/>
                          </a:xfrm>
                          <a:prstGeom prst="rect">
                            <a:avLst/>
                          </a:prstGeom>
                          <a:noFill/>
                          <a:ln>
                            <a:noFill/>
                          </a:ln>
                        </pic:spPr>
                      </pic:pic>
                    </a:graphicData>
                  </a:graphic>
                </wp:inline>
              </w:drawing>
            </w:r>
          </w:p>
          <w:p w14:paraId="3AC14E9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式中：P 指颗粒物产生量（单位：吨）；</w:t>
            </w:r>
          </w:p>
          <w:p w14:paraId="62F694D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 xml:space="preserve">Uc 指颗粒物排放量（单位：吨）； </w:t>
            </w:r>
          </w:p>
          <w:p w14:paraId="67F0745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Cm指颗粒物控制措施控制效率（单位：%），</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根据附录</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4计算，本项目堆场</w:t>
            </w:r>
            <w:r>
              <w:rPr>
                <w:rFonts w:hint="default" w:ascii="Times New Roman" w:hAnsi="Times New Roman" w:eastAsia="宋体" w:cs="Times New Roman"/>
                <w:bCs/>
                <w:color w:val="000000" w:themeColor="text1"/>
                <w:sz w:val="24"/>
                <w:szCs w:val="24"/>
                <w:highlight w:val="none"/>
                <w14:textFill>
                  <w14:solidFill>
                    <w14:schemeClr w14:val="tx1"/>
                  </w14:solidFill>
                </w14:textFill>
              </w:rPr>
              <w:t>颗粒物控制措施控制效率</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为</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98.592%；</w:t>
            </w:r>
          </w:p>
          <w:p w14:paraId="54F32F5E">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Tm指堆场类型控制效率（单位：%），</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根据附录</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5，本项目堆场</w:t>
            </w:r>
            <w:r>
              <w:rPr>
                <w:rFonts w:hint="default" w:ascii="Times New Roman" w:hAnsi="Times New Roman" w:eastAsia="宋体" w:cs="Times New Roman"/>
                <w:bCs/>
                <w:color w:val="000000" w:themeColor="text1"/>
                <w:sz w:val="24"/>
                <w:szCs w:val="24"/>
                <w:highlight w:val="none"/>
                <w14:textFill>
                  <w14:solidFill>
                    <w14:schemeClr w14:val="tx1"/>
                  </w14:solidFill>
                </w14:textFill>
              </w:rPr>
              <w:t>控制效率</w:t>
            </w:r>
            <w:r>
              <w:rPr>
                <w:rFonts w:hint="default" w:ascii="Times New Roman" w:hAnsi="Times New Roman" w:eastAsia="宋体" w:cs="Times New Roman"/>
                <w:bCs/>
                <w:color w:val="000000" w:themeColor="text1"/>
                <w:sz w:val="24"/>
                <w:szCs w:val="24"/>
                <w:highlight w:val="none"/>
                <w:lang w:eastAsia="zh-CN"/>
                <w14:textFill>
                  <w14:solidFill>
                    <w14:schemeClr w14:val="tx1"/>
                  </w14:solidFill>
                </w14:textFill>
              </w:rPr>
              <w:t>为</w:t>
            </w:r>
            <w:r>
              <w:rPr>
                <w:rFonts w:hint="default" w:ascii="Times New Roman" w:hAnsi="Times New Roman" w:eastAsia="宋体" w:cs="Times New Roman"/>
                <w:bCs/>
                <w:color w:val="000000" w:themeColor="text1"/>
                <w:sz w:val="24"/>
                <w:szCs w:val="24"/>
                <w:highlight w:val="none"/>
                <w:lang w:val="en-US" w:eastAsia="zh-CN"/>
                <w14:textFill>
                  <w14:solidFill>
                    <w14:schemeClr w14:val="tx1"/>
                  </w14:solidFill>
                </w14:textFill>
              </w:rPr>
              <w:t>60%</w:t>
            </w:r>
            <w:r>
              <w:rPr>
                <w:rFonts w:hint="default" w:ascii="Times New Roman" w:hAnsi="Times New Roman" w:eastAsia="宋体" w:cs="Times New Roman"/>
                <w:bCs/>
                <w:color w:val="000000" w:themeColor="text1"/>
                <w:sz w:val="24"/>
                <w:szCs w:val="24"/>
                <w:highlight w:val="none"/>
                <w14:textFill>
                  <w14:solidFill>
                    <w14:schemeClr w14:val="tx1"/>
                  </w14:solidFill>
                </w14:textFill>
              </w:rPr>
              <w:t>。</w:t>
            </w:r>
          </w:p>
          <w:p w14:paraId="6B00AF3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骨料卸料扬尘排放量（无组织）：</w:t>
            </w:r>
            <w:r>
              <w:rPr>
                <w:rFonts w:hint="eastAsia" w:cs="Times New Roman"/>
                <w:color w:val="000000" w:themeColor="text1"/>
                <w:sz w:val="24"/>
                <w:szCs w:val="24"/>
                <w:highlight w:val="none"/>
                <w:vertAlign w:val="baseline"/>
                <w:lang w:val="en-US" w:eastAsia="zh-CN"/>
                <w14:textFill>
                  <w14:solidFill>
                    <w14:schemeClr w14:val="tx1"/>
                  </w14:solidFill>
                </w14:textFill>
              </w:rPr>
              <w:t>44.4857</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98.592%</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cs="Times New Roman"/>
                <w:color w:val="000000" w:themeColor="text1"/>
                <w:sz w:val="24"/>
                <w:szCs w:val="22"/>
                <w:highlight w:val="none"/>
                <w:lang w:val="en-US" w:eastAsia="zh-CN"/>
                <w14:textFill>
                  <w14:solidFill>
                    <w14:schemeClr w14:val="tx1"/>
                  </w14:solidFill>
                </w14:textFill>
              </w:rPr>
              <w:t>0.2505</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t/a（平均</w:t>
            </w:r>
            <w:r>
              <w:rPr>
                <w:rFonts w:hint="eastAsia" w:cs="Times New Roman"/>
                <w:color w:val="000000" w:themeColor="text1"/>
                <w:sz w:val="24"/>
                <w:szCs w:val="22"/>
                <w:highlight w:val="none"/>
                <w:lang w:val="en-US" w:eastAsia="zh-CN"/>
                <w14:textFill>
                  <w14:solidFill>
                    <w14:schemeClr w14:val="tx1"/>
                  </w14:solidFill>
                </w14:textFill>
              </w:rPr>
              <w:t>0.7157</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kg/d、</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w:t>
            </w:r>
            <w:r>
              <w:rPr>
                <w:rFonts w:hint="eastAsia" w:cs="Times New Roman"/>
                <w:color w:val="000000" w:themeColor="text1"/>
                <w:sz w:val="24"/>
                <w:szCs w:val="22"/>
                <w:highlight w:val="none"/>
                <w:lang w:val="en-US" w:eastAsia="zh-CN"/>
                <w14:textFill>
                  <w14:solidFill>
                    <w14:schemeClr w14:val="tx1"/>
                  </w14:solidFill>
                </w14:textFill>
              </w:rPr>
              <w:t>716</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kg/h）。</w:t>
            </w:r>
          </w:p>
          <w:p w14:paraId="19863ED2">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2、破碎、筛分粉尘</w:t>
            </w:r>
          </w:p>
          <w:p w14:paraId="5219C14C">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63C2B33B">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在砂石料破碎过程中，由于物料撞击，会产生粉尘。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《全国第二次污染源普查工业源产排污系数手册》中“303砖瓦、石材等建筑材料制造行业系数手册”进行核算，具体产污系数见表4-</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w:t>
            </w:r>
          </w:p>
          <w:p w14:paraId="5CED0882">
            <w:pPr>
              <w:ind w:left="48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4-</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3 </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3039其他建筑材料制造行业</w:t>
            </w:r>
            <w:r>
              <w:rPr>
                <w:rFonts w:hint="default" w:ascii="Times New Roman" w:hAnsi="Times New Roman" w:eastAsia="宋体" w:cs="Times New Roman"/>
                <w:b/>
                <w:bCs/>
                <w:color w:val="000000" w:themeColor="text1"/>
                <w:szCs w:val="21"/>
                <w:highlight w:val="none"/>
                <w14:textFill>
                  <w14:solidFill>
                    <w14:schemeClr w14:val="tx1"/>
                  </w14:solidFill>
                </w14:textFill>
              </w:rPr>
              <w:t>产排污系数表</w:t>
            </w:r>
          </w:p>
          <w:tbl>
            <w:tblPr>
              <w:tblStyle w:val="20"/>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42"/>
              <w:gridCol w:w="623"/>
              <w:gridCol w:w="1873"/>
              <w:gridCol w:w="1033"/>
              <w:gridCol w:w="683"/>
              <w:gridCol w:w="500"/>
              <w:gridCol w:w="800"/>
              <w:gridCol w:w="1234"/>
              <w:gridCol w:w="778"/>
            </w:tblGrid>
            <w:tr w14:paraId="07EE88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7" w:type="pct"/>
                  <w:noWrap w:val="0"/>
                  <w:vAlign w:val="center"/>
                </w:tcPr>
                <w:p w14:paraId="2D78B2BA">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工段名称</w:t>
                  </w:r>
                </w:p>
              </w:tc>
              <w:tc>
                <w:tcPr>
                  <w:tcW w:w="391" w:type="pct"/>
                  <w:noWrap w:val="0"/>
                  <w:vAlign w:val="center"/>
                </w:tcPr>
                <w:p w14:paraId="7847191F">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产品</w:t>
                  </w:r>
                </w:p>
                <w:p w14:paraId="02D9F121">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名称</w:t>
                  </w:r>
                </w:p>
              </w:tc>
              <w:tc>
                <w:tcPr>
                  <w:tcW w:w="1175" w:type="pct"/>
                  <w:noWrap w:val="0"/>
                  <w:vAlign w:val="center"/>
                </w:tcPr>
                <w:p w14:paraId="3261012C">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原料名称</w:t>
                  </w:r>
                </w:p>
              </w:tc>
              <w:tc>
                <w:tcPr>
                  <w:tcW w:w="648" w:type="pct"/>
                  <w:noWrap w:val="0"/>
                  <w:vAlign w:val="center"/>
                </w:tcPr>
                <w:p w14:paraId="4859D5A5">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工艺名称</w:t>
                  </w:r>
                </w:p>
              </w:tc>
              <w:tc>
                <w:tcPr>
                  <w:tcW w:w="428" w:type="pct"/>
                  <w:noWrap w:val="0"/>
                  <w:vAlign w:val="center"/>
                </w:tcPr>
                <w:p w14:paraId="5BC56A16">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规模</w:t>
                  </w:r>
                </w:p>
                <w:p w14:paraId="1308FFD7">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等级</w:t>
                  </w:r>
                </w:p>
              </w:tc>
              <w:tc>
                <w:tcPr>
                  <w:tcW w:w="815" w:type="pct"/>
                  <w:gridSpan w:val="2"/>
                  <w:noWrap w:val="0"/>
                  <w:vAlign w:val="center"/>
                </w:tcPr>
                <w:p w14:paraId="3A031006">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污染物指标</w:t>
                  </w:r>
                </w:p>
              </w:tc>
              <w:tc>
                <w:tcPr>
                  <w:tcW w:w="774" w:type="pct"/>
                  <w:noWrap w:val="0"/>
                  <w:vAlign w:val="center"/>
                </w:tcPr>
                <w:p w14:paraId="48071869">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单位</w:t>
                  </w:r>
                </w:p>
              </w:tc>
              <w:tc>
                <w:tcPr>
                  <w:tcW w:w="488" w:type="pct"/>
                  <w:noWrap w:val="0"/>
                  <w:vAlign w:val="center"/>
                </w:tcPr>
                <w:p w14:paraId="0E582B67">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产污</w:t>
                  </w:r>
                </w:p>
                <w:p w14:paraId="6DAD7BDE">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系数</w:t>
                  </w:r>
                </w:p>
              </w:tc>
            </w:tr>
            <w:tr w14:paraId="45AD77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7" w:type="pct"/>
                  <w:noWrap w:val="0"/>
                  <w:vAlign w:val="center"/>
                </w:tcPr>
                <w:p w14:paraId="00A3A878">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391" w:type="pct"/>
                  <w:noWrap w:val="0"/>
                  <w:vAlign w:val="center"/>
                </w:tcPr>
                <w:p w14:paraId="65A8D477">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砂石骨料</w:t>
                  </w:r>
                </w:p>
              </w:tc>
              <w:tc>
                <w:tcPr>
                  <w:tcW w:w="1175" w:type="pct"/>
                  <w:noWrap w:val="0"/>
                  <w:vAlign w:val="center"/>
                </w:tcPr>
                <w:p w14:paraId="2FE58EF4">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宋体" w:hAnsi="宋体" w:eastAsia="宋体"/>
                      <w:color w:val="000000" w:themeColor="text1"/>
                      <w:sz w:val="21"/>
                      <w:szCs w:val="24"/>
                      <w:highlight w:val="none"/>
                      <w14:textFill>
                        <w14:solidFill>
                          <w14:schemeClr w14:val="tx1"/>
                        </w14:solidFill>
                      </w14:textFill>
                    </w:rPr>
                    <w:t>岩石、矿石、建筑固体废弃物、尾矿等</w:t>
                  </w:r>
                </w:p>
              </w:tc>
              <w:tc>
                <w:tcPr>
                  <w:tcW w:w="648" w:type="pct"/>
                  <w:noWrap w:val="0"/>
                  <w:vAlign w:val="center"/>
                </w:tcPr>
                <w:p w14:paraId="6931EB2E">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破碎、筛分</w:t>
                  </w:r>
                </w:p>
              </w:tc>
              <w:tc>
                <w:tcPr>
                  <w:tcW w:w="428" w:type="pct"/>
                  <w:noWrap w:val="0"/>
                  <w:vAlign w:val="center"/>
                </w:tcPr>
                <w:p w14:paraId="3D6B8818">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Cs/>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eastAsia="zh-CN"/>
                      <w14:textFill>
                        <w14:solidFill>
                          <w14:schemeClr w14:val="tx1"/>
                        </w14:solidFill>
                      </w14:textFill>
                    </w:rPr>
                    <w:t>所有</w:t>
                  </w:r>
                </w:p>
                <w:p w14:paraId="63F43A84">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eastAsia="zh-CN"/>
                      <w14:textFill>
                        <w14:solidFill>
                          <w14:schemeClr w14:val="tx1"/>
                        </w14:solidFill>
                      </w14:textFill>
                    </w:rPr>
                    <w:t>规模</w:t>
                  </w:r>
                </w:p>
              </w:tc>
              <w:tc>
                <w:tcPr>
                  <w:tcW w:w="313" w:type="pct"/>
                  <w:noWrap w:val="0"/>
                  <w:vAlign w:val="center"/>
                </w:tcPr>
                <w:p w14:paraId="640BA5FA">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废气</w:t>
                  </w:r>
                </w:p>
              </w:tc>
              <w:tc>
                <w:tcPr>
                  <w:tcW w:w="502" w:type="pct"/>
                  <w:noWrap w:val="0"/>
                  <w:vAlign w:val="center"/>
                </w:tcPr>
                <w:p w14:paraId="74E58F27">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颗粒物</w:t>
                  </w:r>
                </w:p>
              </w:tc>
              <w:tc>
                <w:tcPr>
                  <w:tcW w:w="774" w:type="pct"/>
                  <w:noWrap w:val="0"/>
                  <w:vAlign w:val="center"/>
                </w:tcPr>
                <w:p w14:paraId="19E0EA30">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千克/</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吨</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-产品</w:t>
                  </w:r>
                </w:p>
              </w:tc>
              <w:tc>
                <w:tcPr>
                  <w:tcW w:w="488" w:type="pct"/>
                  <w:noWrap w:val="0"/>
                  <w:vAlign w:val="center"/>
                </w:tcPr>
                <w:p w14:paraId="2599EAA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1.89</w:t>
                  </w:r>
                </w:p>
              </w:tc>
            </w:tr>
          </w:tbl>
          <w:p w14:paraId="12A24F91">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根据上表</w:t>
            </w:r>
            <w:r>
              <w:rPr>
                <w:rFonts w:hint="eastAsia"/>
                <w:color w:val="000000" w:themeColor="text1"/>
                <w:sz w:val="24"/>
                <w:szCs w:val="24"/>
                <w:highlight w:val="none"/>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碎石加工原料</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52700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则粉尘产生量为</w:t>
            </w:r>
            <w:r>
              <w:rPr>
                <w:rFonts w:hint="eastAsia"/>
                <w:color w:val="000000" w:themeColor="text1"/>
                <w:sz w:val="24"/>
                <w:szCs w:val="24"/>
                <w:highlight w:val="none"/>
                <w:lang w:val="en-US" w:eastAsia="zh-CN"/>
                <w14:textFill>
                  <w14:solidFill>
                    <w14:schemeClr w14:val="tx1"/>
                  </w14:solidFill>
                </w14:textFill>
              </w:rPr>
              <w:t>244.2825</w:t>
            </w:r>
            <w:r>
              <w:rPr>
                <w:rFonts w:hint="eastAsia"/>
                <w:color w:val="000000" w:themeColor="text1"/>
                <w:sz w:val="24"/>
                <w:szCs w:val="24"/>
                <w:highlight w:val="none"/>
                <w14:textFill>
                  <w14:solidFill>
                    <w14:schemeClr w14:val="tx1"/>
                  </w14:solidFill>
                </w14:textFill>
              </w:rPr>
              <w:t>t/a，产生速率为</w:t>
            </w:r>
            <w:r>
              <w:rPr>
                <w:rFonts w:hint="eastAsia"/>
                <w:color w:val="000000" w:themeColor="text1"/>
                <w:sz w:val="24"/>
                <w:szCs w:val="24"/>
                <w:highlight w:val="none"/>
                <w:lang w:val="en-US" w:eastAsia="zh-CN"/>
                <w14:textFill>
                  <w14:solidFill>
                    <w14:schemeClr w14:val="tx1"/>
                  </w14:solidFill>
                </w14:textFill>
              </w:rPr>
              <w:t>69.795</w:t>
            </w:r>
            <w:r>
              <w:rPr>
                <w:rFonts w:hint="eastAsia"/>
                <w:color w:val="000000" w:themeColor="text1"/>
                <w:sz w:val="24"/>
                <w:szCs w:val="24"/>
                <w:highlight w:val="none"/>
                <w14:textFill>
                  <w14:solidFill>
                    <w14:schemeClr w14:val="tx1"/>
                  </w14:solidFill>
                </w14:textFill>
              </w:rPr>
              <w:t>kg/h。</w:t>
            </w:r>
          </w:p>
          <w:p w14:paraId="492AFE1C">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w:t>
            </w:r>
            <w:r>
              <w:rPr>
                <w:bCs/>
                <w:color w:val="000000" w:themeColor="text1"/>
                <w:sz w:val="24"/>
                <w:highlight w:val="none"/>
                <w14:textFill>
                  <w14:solidFill>
                    <w14:schemeClr w14:val="tx1"/>
                  </w14:solidFill>
                </w14:textFill>
              </w:rPr>
              <w:t>处理措施及排放量</w:t>
            </w:r>
          </w:p>
          <w:p w14:paraId="6DAD4C05">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破碎整个生产过程均位于密闭厂房内，</w:t>
            </w:r>
            <w:r>
              <w:rPr>
                <w:rFonts w:hint="eastAsia"/>
                <w:color w:val="000000" w:themeColor="text1"/>
                <w:sz w:val="24"/>
                <w:szCs w:val="24"/>
                <w:highlight w:val="none"/>
                <w:lang w:eastAsia="zh-CN"/>
                <w14:textFill>
                  <w14:solidFill>
                    <w14:schemeClr w14:val="tx1"/>
                  </w14:solidFill>
                </w14:textFill>
              </w:rPr>
              <w:t>破碎时采取湿法作业，物料传送带</w:t>
            </w:r>
            <w:r>
              <w:rPr>
                <w:rFonts w:hint="eastAsia"/>
                <w:color w:val="000000" w:themeColor="text1"/>
                <w:sz w:val="24"/>
                <w:szCs w:val="24"/>
                <w:highlight w:val="none"/>
                <w14:textFill>
                  <w14:solidFill>
                    <w14:schemeClr w14:val="tx1"/>
                  </w14:solidFill>
                </w14:textFill>
              </w:rPr>
              <w:t>物料降落点布置喷头进行降尘。</w:t>
            </w:r>
          </w:p>
          <w:p w14:paraId="187DB45E">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根据相关文献（黑龙江环境通报（第37卷第4期））：</w:t>
            </w:r>
          </w:p>
          <w:p w14:paraId="4AF302E7">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Q=k</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0.19e</w:t>
            </w:r>
            <w:r>
              <w:rPr>
                <w:rFonts w:hint="eastAsia"/>
                <w:color w:val="000000" w:themeColor="text1"/>
                <w:sz w:val="24"/>
                <w:szCs w:val="24"/>
                <w:highlight w:val="none"/>
                <w:vertAlign w:val="superscript"/>
                <w14:textFill>
                  <w14:solidFill>
                    <w14:schemeClr w14:val="tx1"/>
                  </w14:solidFill>
                </w14:textFill>
              </w:rPr>
              <w:t>-0.82w</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e</w:t>
            </w:r>
            <w:r>
              <w:rPr>
                <w:rFonts w:hint="eastAsia"/>
                <w:color w:val="000000" w:themeColor="text1"/>
                <w:sz w:val="24"/>
                <w:szCs w:val="24"/>
                <w:highlight w:val="none"/>
                <w:vertAlign w:val="superscript"/>
                <w14:textFill>
                  <w14:solidFill>
                    <w14:schemeClr w14:val="tx1"/>
                  </w14:solidFill>
                </w14:textFill>
              </w:rPr>
              <w:t>0.442v</w:t>
            </w:r>
          </w:p>
          <w:p w14:paraId="54467F4F">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式中：Q——每吨矿石料起尘量，kg/t；</w:t>
            </w:r>
          </w:p>
          <w:p w14:paraId="22DCA6BC">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 xml:space="preserve">      k——物料扬尘系数，矿石取1；</w:t>
            </w:r>
          </w:p>
          <w:p w14:paraId="3343C8D2">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 xml:space="preserve">      w——物料含水率，%；</w:t>
            </w:r>
          </w:p>
          <w:p w14:paraId="04EF1157">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 xml:space="preserve">      v——低空风速，m/s。</w:t>
            </w:r>
          </w:p>
          <w:p w14:paraId="2A3C4D68">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本项目采取密闭厂房，湿法作业措施前，当地平均风速取0.6m/s，含水率按照2%计算，项目采取</w:t>
            </w:r>
            <w:r>
              <w:rPr>
                <w:rFonts w:hint="eastAsia"/>
                <w:color w:val="000000" w:themeColor="text1"/>
                <w:sz w:val="24"/>
                <w:szCs w:val="24"/>
                <w:highlight w:val="none"/>
                <w:lang w:eastAsia="zh-CN"/>
                <w14:textFill>
                  <w14:solidFill>
                    <w14:schemeClr w14:val="tx1"/>
                  </w14:solidFill>
                </w14:textFill>
              </w:rPr>
              <w:t>湿法作业</w:t>
            </w:r>
            <w:r>
              <w:rPr>
                <w:rFonts w:hint="eastAsia"/>
                <w:color w:val="000000" w:themeColor="text1"/>
                <w:sz w:val="24"/>
                <w:szCs w:val="24"/>
                <w:highlight w:val="none"/>
                <w14:textFill>
                  <w14:solidFill>
                    <w14:schemeClr w14:val="tx1"/>
                  </w14:solidFill>
                </w14:textFill>
              </w:rPr>
              <w:t>后，破碎筛分工序在密闭工房内，风速取0.2m/s，石料含水率达到4%以上（本次环评按4%含水率计算），按照上述公式计算</w:t>
            </w:r>
            <w:r>
              <w:rPr>
                <w:rFonts w:hint="eastAsia"/>
                <w:color w:val="000000" w:themeColor="text1"/>
                <w:sz w:val="24"/>
                <w:szCs w:val="24"/>
                <w:highlight w:val="none"/>
                <w:lang w:eastAsia="zh-CN"/>
                <w14:textFill>
                  <w14:solidFill>
                    <w14:schemeClr w14:val="tx1"/>
                  </w14:solidFill>
                </w14:textFill>
              </w:rPr>
              <w:t>湿法作业</w:t>
            </w:r>
            <w:r>
              <w:rPr>
                <w:rFonts w:hint="eastAsia"/>
                <w:color w:val="000000" w:themeColor="text1"/>
                <w:sz w:val="24"/>
                <w:szCs w:val="24"/>
                <w:highlight w:val="none"/>
                <w14:textFill>
                  <w14:solidFill>
                    <w14:schemeClr w14:val="tx1"/>
                  </w14:solidFill>
                </w14:textFill>
              </w:rPr>
              <w:t>产尘率为干式破碎条件下的79%。</w:t>
            </w:r>
          </w:p>
          <w:p w14:paraId="07C8C7C7">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同时，</w:t>
            </w:r>
            <w:r>
              <w:rPr>
                <w:rFonts w:hint="eastAsia"/>
                <w:color w:val="000000" w:themeColor="text1"/>
                <w:sz w:val="24"/>
                <w:szCs w:val="24"/>
                <w:highlight w:val="none"/>
                <w14:textFill>
                  <w14:solidFill>
                    <w14:schemeClr w14:val="tx1"/>
                  </w14:solidFill>
                </w14:textFill>
              </w:rPr>
              <w:t>项目破碎筛分全部置于密闭空间</w:t>
            </w:r>
            <w:r>
              <w:rPr>
                <w:rFonts w:hint="eastAsia"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（除进出口通道外，其余封闭）</w:t>
            </w:r>
            <w:r>
              <w:rPr>
                <w:rFonts w:hint="eastAsia"/>
                <w:color w:val="000000" w:themeColor="text1"/>
                <w:sz w:val="24"/>
                <w:szCs w:val="24"/>
                <w:highlight w:val="none"/>
                <w14:textFill>
                  <w14:solidFill>
                    <w14:schemeClr w14:val="tx1"/>
                  </w14:solidFill>
                </w14:textFill>
              </w:rPr>
              <w:t>内，</w:t>
            </w:r>
            <w:r>
              <w:rPr>
                <w:rFonts w:hint="eastAsia"/>
                <w:color w:val="000000" w:themeColor="text1"/>
                <w:sz w:val="24"/>
                <w:szCs w:val="24"/>
                <w:highlight w:val="none"/>
                <w:lang w:eastAsia="zh-CN"/>
                <w14:textFill>
                  <w14:solidFill>
                    <w14:schemeClr w14:val="tx1"/>
                  </w14:solidFill>
                </w14:textFill>
              </w:rPr>
              <w:t>设置雾炮机进行降尘。</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附录4、附录5 粉尘控制措施控制效率级堆场类型控制效率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（见表4-2），</w:t>
            </w:r>
            <w:r>
              <w:rPr>
                <w:rFonts w:hint="default" w:ascii="Times New Roman" w:hAnsi="Times New Roman" w:eastAsia="宋体" w:cs="Times New Roman"/>
                <w:b w:val="0"/>
                <w:bCs/>
                <w:color w:val="000000" w:themeColor="text1"/>
                <w:spacing w:val="-10"/>
                <w:sz w:val="24"/>
                <w:szCs w:val="24"/>
                <w:highlight w:val="none"/>
                <w:lang w:eastAsia="zh-CN"/>
                <w14:textFill>
                  <w14:solidFill>
                    <w14:schemeClr w14:val="tx1"/>
                  </w14:solidFill>
                </w14:textFill>
              </w:rPr>
              <w:t>粉尘综合控制效率为【</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1—（1—74%）×（1—60%）×（1—60%）</w:t>
            </w:r>
            <w:r>
              <w:rPr>
                <w:rFonts w:hint="default" w:ascii="Times New Roman" w:hAnsi="Times New Roman" w:eastAsia="宋体" w:cs="Times New Roman"/>
                <w:b w:val="0"/>
                <w:bCs/>
                <w:color w:val="000000" w:themeColor="text1"/>
                <w:spacing w:val="-10"/>
                <w:sz w:val="24"/>
                <w:szCs w:val="24"/>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95.84</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，则</w:t>
            </w:r>
            <w:r>
              <w:rPr>
                <w:rFonts w:hint="eastAsia"/>
                <w:color w:val="000000" w:themeColor="text1"/>
                <w:sz w:val="24"/>
                <w:szCs w:val="24"/>
                <w:highlight w:val="none"/>
                <w14:textFill>
                  <w14:solidFill>
                    <w14:schemeClr w14:val="tx1"/>
                  </w14:solidFill>
                </w14:textFill>
              </w:rPr>
              <w:t>排放量为</w:t>
            </w:r>
            <w:r>
              <w:rPr>
                <w:rFonts w:hint="eastAsia"/>
                <w:color w:val="000000" w:themeColor="text1"/>
                <w:sz w:val="24"/>
                <w:szCs w:val="24"/>
                <w:highlight w:val="none"/>
                <w:lang w:val="en-US" w:eastAsia="zh-CN"/>
                <w14:textFill>
                  <w14:solidFill>
                    <w14:schemeClr w14:val="tx1"/>
                  </w14:solidFill>
                </w14:textFill>
              </w:rPr>
              <w:t>244.2825</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79%</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×（1—</w:t>
            </w:r>
            <w:r>
              <w:rPr>
                <w:rFonts w:hint="eastAsia"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95.85</w:t>
            </w:r>
            <w:r>
              <w:rPr>
                <w:rFonts w:hint="default"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color w:val="000000" w:themeColor="text1"/>
                <w:spacing w:val="-10"/>
                <w:sz w:val="24"/>
                <w:szCs w:val="24"/>
                <w:highlight w:val="none"/>
                <w:lang w:val="en-US"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9.9386</w:t>
            </w:r>
            <w:r>
              <w:rPr>
                <w:rFonts w:hint="eastAsia"/>
                <w:color w:val="000000" w:themeColor="text1"/>
                <w:sz w:val="24"/>
                <w:szCs w:val="24"/>
                <w:highlight w:val="none"/>
                <w14:textFill>
                  <w14:solidFill>
                    <w14:schemeClr w14:val="tx1"/>
                  </w14:solidFill>
                </w14:textFill>
              </w:rPr>
              <w:t>t/a，排放速率为</w:t>
            </w:r>
            <w:r>
              <w:rPr>
                <w:rFonts w:hint="eastAsia"/>
                <w:color w:val="000000" w:themeColor="text1"/>
                <w:sz w:val="24"/>
                <w:szCs w:val="24"/>
                <w:highlight w:val="none"/>
                <w:lang w:val="en-US" w:eastAsia="zh-CN"/>
                <w14:textFill>
                  <w14:solidFill>
                    <w14:schemeClr w14:val="tx1"/>
                  </w14:solidFill>
                </w14:textFill>
              </w:rPr>
              <w:t>2.8396</w:t>
            </w:r>
            <w:r>
              <w:rPr>
                <w:rFonts w:hint="eastAsia"/>
                <w:color w:val="000000" w:themeColor="text1"/>
                <w:sz w:val="24"/>
                <w:szCs w:val="24"/>
                <w:highlight w:val="none"/>
                <w14:textFill>
                  <w14:solidFill>
                    <w14:schemeClr w14:val="tx1"/>
                  </w14:solidFill>
                </w14:textFill>
              </w:rPr>
              <w:t>kg/h。</w:t>
            </w:r>
          </w:p>
          <w:p w14:paraId="57126EA2">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3、骨料输送过程粉尘</w:t>
            </w:r>
          </w:p>
          <w:p w14:paraId="5E12756A">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0D254920">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w:t>
            </w:r>
            <w:r>
              <w:rPr>
                <w:rFonts w:hint="eastAsia"/>
                <w:color w:val="000000" w:themeColor="text1"/>
                <w:sz w:val="24"/>
                <w:szCs w:val="24"/>
                <w:highlight w:val="none"/>
                <w:lang w:eastAsia="zh-CN"/>
                <w14:textFill>
                  <w14:solidFill>
                    <w14:schemeClr w14:val="tx1"/>
                  </w14:solidFill>
                </w14:textFill>
              </w:rPr>
              <w:t>水稳站、拌和站</w:t>
            </w:r>
            <w:r>
              <w:rPr>
                <w:rFonts w:hint="eastAsia"/>
                <w:color w:val="000000" w:themeColor="text1"/>
                <w:sz w:val="24"/>
                <w:szCs w:val="24"/>
                <w:highlight w:val="none"/>
                <w14:textFill>
                  <w14:solidFill>
                    <w14:schemeClr w14:val="tx1"/>
                  </w14:solidFill>
                </w14:textFill>
              </w:rPr>
              <w:t>砂、石等骨料通过皮带机输送至物料堆场，经过料场内的料仓下的砂石称计量后通过皮带机输送投入搅拌主机。由于输送速度较慢（输送速度小于0.1m/s），且项目对整个生产区域进行密闭，基本不受外界风场的影响，因此，可不考虑输送过程中粉尘的产生。</w:t>
            </w:r>
          </w:p>
          <w:p w14:paraId="1A50BA78">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（2）拟采取措施</w:t>
            </w:r>
          </w:p>
          <w:p w14:paraId="6760A99E">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项目对整个物料输送设置密闭的输送廊道，并在皮带输送进料口设置喷淋抑尘装置，有效抑制粉尘的排放。</w:t>
            </w:r>
          </w:p>
          <w:p w14:paraId="24618170">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4、储料罐呼吸粉尘</w:t>
            </w:r>
          </w:p>
          <w:p w14:paraId="475A382A">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73C9B0D8">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水泥、粉煤灰、矿粉等粉剂原辅料通过运输车与相应料筒管道封闭直连，以压缩空气吹入形式进入相应储料罐，然后采取封闭螺旋输送机进行计量给料。空压机向料筒打料时仓顶呼吸口会产生粉尘。</w:t>
            </w:r>
          </w:p>
          <w:p w14:paraId="37116D41">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根据《逸散性工业粉尘控制技术》中第二十二章混凝土分批搅拌厂-表 22-1 混凝土分批搅拌厂的逸散尘排放因子统计资料，贮仓排气粉尘排放因子为0.12kg/t，本项目</w:t>
            </w:r>
            <w:r>
              <w:rPr>
                <w:rFonts w:hint="eastAsia"/>
                <w:color w:val="000000" w:themeColor="text1"/>
                <w:sz w:val="24"/>
                <w:szCs w:val="24"/>
                <w:highlight w:val="none"/>
                <w:lang w:eastAsia="zh-CN"/>
                <w14:textFill>
                  <w14:solidFill>
                    <w14:schemeClr w14:val="tx1"/>
                  </w14:solidFill>
                </w14:textFill>
              </w:rPr>
              <w:t>拌和站</w:t>
            </w:r>
            <w:r>
              <w:rPr>
                <w:rFonts w:hint="eastAsia"/>
                <w:color w:val="000000" w:themeColor="text1"/>
                <w:sz w:val="24"/>
                <w:szCs w:val="24"/>
                <w:highlight w:val="none"/>
                <w14:textFill>
                  <w14:solidFill>
                    <w14:schemeClr w14:val="tx1"/>
                  </w14:solidFill>
                </w14:textFill>
              </w:rPr>
              <w:t>粉剂（含</w:t>
            </w:r>
            <w:r>
              <w:rPr>
                <w:rFonts w:hint="eastAsia"/>
                <w:color w:val="000000" w:themeColor="text1"/>
                <w:sz w:val="24"/>
                <w:szCs w:val="24"/>
                <w:highlight w:val="none"/>
                <w:lang w:eastAsia="zh-CN"/>
                <w14:textFill>
                  <w14:solidFill>
                    <w14:schemeClr w14:val="tx1"/>
                  </w14:solidFill>
                </w14:textFill>
              </w:rPr>
              <w:t>水泥</w:t>
            </w:r>
            <w:r>
              <w:rPr>
                <w:rFonts w:hint="eastAsia"/>
                <w:color w:val="000000" w:themeColor="text1"/>
                <w:sz w:val="24"/>
                <w:szCs w:val="24"/>
                <w:highlight w:val="none"/>
                <w14:textFill>
                  <w14:solidFill>
                    <w14:schemeClr w14:val="tx1"/>
                  </w14:solidFill>
                </w14:textFill>
              </w:rPr>
              <w:t>、粉煤灰等）用量为</w:t>
            </w:r>
            <w:r>
              <w:rPr>
                <w:rFonts w:hint="eastAsia"/>
                <w:color w:val="000000" w:themeColor="text1"/>
                <w:sz w:val="24"/>
                <w:szCs w:val="24"/>
                <w:highlight w:val="none"/>
                <w:lang w:val="en-US" w:eastAsia="zh-CN"/>
                <w14:textFill>
                  <w14:solidFill>
                    <w14:schemeClr w14:val="tx1"/>
                  </w14:solidFill>
                </w14:textFill>
              </w:rPr>
              <w:t>34000</w:t>
            </w:r>
            <w:r>
              <w:rPr>
                <w:rFonts w:hint="eastAsia"/>
                <w:color w:val="000000" w:themeColor="text1"/>
                <w:sz w:val="24"/>
                <w:szCs w:val="24"/>
                <w:highlight w:val="none"/>
                <w14:textFill>
                  <w14:solidFill>
                    <w14:schemeClr w14:val="tx1"/>
                  </w14:solidFill>
                </w14:textFill>
              </w:rPr>
              <w:t>t/a，则粉尘产生量为</w:t>
            </w:r>
            <w:r>
              <w:rPr>
                <w:rFonts w:hint="eastAsia"/>
                <w:color w:val="000000" w:themeColor="text1"/>
                <w:sz w:val="24"/>
                <w:szCs w:val="24"/>
                <w:highlight w:val="none"/>
                <w:lang w:val="en-US" w:eastAsia="zh-CN"/>
                <w14:textFill>
                  <w14:solidFill>
                    <w14:schemeClr w14:val="tx1"/>
                  </w14:solidFill>
                </w14:textFill>
              </w:rPr>
              <w:t>4.08</w:t>
            </w:r>
            <w:r>
              <w:rPr>
                <w:rFonts w:hint="eastAsia"/>
                <w:color w:val="000000" w:themeColor="text1"/>
                <w:sz w:val="24"/>
                <w:szCs w:val="24"/>
                <w:highlight w:val="none"/>
                <w14:textFill>
                  <w14:solidFill>
                    <w14:schemeClr w14:val="tx1"/>
                  </w14:solidFill>
                </w14:textFill>
              </w:rPr>
              <w:t>t/a，产生速率为</w:t>
            </w:r>
            <w:r>
              <w:rPr>
                <w:rFonts w:hint="eastAsia"/>
                <w:color w:val="000000" w:themeColor="text1"/>
                <w:sz w:val="24"/>
                <w:szCs w:val="24"/>
                <w:highlight w:val="none"/>
                <w:lang w:val="en-US" w:eastAsia="zh-CN"/>
                <w14:textFill>
                  <w14:solidFill>
                    <w14:schemeClr w14:val="tx1"/>
                  </w14:solidFill>
                </w14:textFill>
              </w:rPr>
              <w:t>1.1657</w:t>
            </w:r>
            <w:r>
              <w:rPr>
                <w:rFonts w:hint="eastAsia"/>
                <w:color w:val="000000" w:themeColor="text1"/>
                <w:sz w:val="24"/>
                <w:szCs w:val="24"/>
                <w:highlight w:val="none"/>
                <w14:textFill>
                  <w14:solidFill>
                    <w14:schemeClr w14:val="tx1"/>
                  </w14:solidFill>
                </w14:textFill>
              </w:rPr>
              <w:t>kg/h。</w:t>
            </w:r>
            <w:r>
              <w:rPr>
                <w:rFonts w:hint="eastAsia"/>
                <w:color w:val="000000" w:themeColor="text1"/>
                <w:sz w:val="24"/>
                <w:szCs w:val="24"/>
                <w:highlight w:val="none"/>
                <w:lang w:eastAsia="zh-CN"/>
                <w14:textFill>
                  <w14:solidFill>
                    <w14:schemeClr w14:val="tx1"/>
                  </w14:solidFill>
                </w14:textFill>
              </w:rPr>
              <w:t>水稳站水泥</w:t>
            </w:r>
            <w:r>
              <w:rPr>
                <w:rFonts w:hint="eastAsia"/>
                <w:color w:val="000000" w:themeColor="text1"/>
                <w:sz w:val="24"/>
                <w:szCs w:val="24"/>
                <w:highlight w:val="none"/>
                <w14:textFill>
                  <w14:solidFill>
                    <w14:schemeClr w14:val="tx1"/>
                  </w14:solidFill>
                </w14:textFill>
              </w:rPr>
              <w:t>用量为</w:t>
            </w:r>
            <w:r>
              <w:rPr>
                <w:rFonts w:hint="eastAsia"/>
                <w:color w:val="000000" w:themeColor="text1"/>
                <w:sz w:val="24"/>
                <w:szCs w:val="24"/>
                <w:highlight w:val="none"/>
                <w:lang w:val="en-US" w:eastAsia="zh-CN"/>
                <w14:textFill>
                  <w14:solidFill>
                    <w14:schemeClr w14:val="tx1"/>
                  </w14:solidFill>
                </w14:textFill>
              </w:rPr>
              <w:t>15000</w:t>
            </w:r>
            <w:r>
              <w:rPr>
                <w:rFonts w:hint="eastAsia"/>
                <w:color w:val="000000" w:themeColor="text1"/>
                <w:sz w:val="24"/>
                <w:szCs w:val="24"/>
                <w:highlight w:val="none"/>
                <w14:textFill>
                  <w14:solidFill>
                    <w14:schemeClr w14:val="tx1"/>
                  </w14:solidFill>
                </w14:textFill>
              </w:rPr>
              <w:t>t/a，则粉尘产生量为</w:t>
            </w:r>
            <w:r>
              <w:rPr>
                <w:rFonts w:hint="eastAsia"/>
                <w:color w:val="000000" w:themeColor="text1"/>
                <w:sz w:val="24"/>
                <w:szCs w:val="24"/>
                <w:highlight w:val="none"/>
                <w:lang w:val="en-US" w:eastAsia="zh-CN"/>
                <w14:textFill>
                  <w14:solidFill>
                    <w14:schemeClr w14:val="tx1"/>
                  </w14:solidFill>
                </w14:textFill>
              </w:rPr>
              <w:t>1.8</w:t>
            </w:r>
            <w:r>
              <w:rPr>
                <w:rFonts w:hint="eastAsia"/>
                <w:color w:val="000000" w:themeColor="text1"/>
                <w:sz w:val="24"/>
                <w:szCs w:val="24"/>
                <w:highlight w:val="none"/>
                <w14:textFill>
                  <w14:solidFill>
                    <w14:schemeClr w14:val="tx1"/>
                  </w14:solidFill>
                </w14:textFill>
              </w:rPr>
              <w:t>t/a，产生速率为</w:t>
            </w:r>
            <w:r>
              <w:rPr>
                <w:rFonts w:hint="eastAsia"/>
                <w:color w:val="000000" w:themeColor="text1"/>
                <w:sz w:val="24"/>
                <w:szCs w:val="24"/>
                <w:highlight w:val="none"/>
                <w:lang w:val="en-US" w:eastAsia="zh-CN"/>
                <w14:textFill>
                  <w14:solidFill>
                    <w14:schemeClr w14:val="tx1"/>
                  </w14:solidFill>
                </w14:textFill>
              </w:rPr>
              <w:t>0.5143</w:t>
            </w:r>
            <w:r>
              <w:rPr>
                <w:rFonts w:hint="eastAsia"/>
                <w:color w:val="000000" w:themeColor="text1"/>
                <w:sz w:val="24"/>
                <w:szCs w:val="24"/>
                <w:highlight w:val="none"/>
                <w14:textFill>
                  <w14:solidFill>
                    <w14:schemeClr w14:val="tx1"/>
                  </w14:solidFill>
                </w14:textFill>
              </w:rPr>
              <w:t>kg/h。</w:t>
            </w:r>
          </w:p>
          <w:p w14:paraId="01F152FE">
            <w:pPr>
              <w:pStyle w:val="10"/>
              <w:keepNext w:val="0"/>
              <w:keepLines w:val="0"/>
              <w:pageBreakBefore w:val="0"/>
              <w:numPr>
                <w:ilvl w:val="0"/>
                <w:numId w:val="4"/>
              </w:numPr>
              <w:kinsoku/>
              <w:wordWrap/>
              <w:overflowPunct/>
              <w:topLinePunct w:val="0"/>
              <w:autoSpaceDE/>
              <w:autoSpaceDN/>
              <w:bidi w:val="0"/>
              <w:adjustRightInd w:val="0"/>
              <w:snapToGrid w:val="0"/>
              <w:spacing w:after="0" w:line="360" w:lineRule="auto"/>
              <w:ind w:left="0" w:leftChars="0" w:right="0" w:rightChars="0" w:firstLine="48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拟采取措施</w:t>
            </w:r>
          </w:p>
          <w:p w14:paraId="17311C4B">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项目</w:t>
            </w:r>
            <w:r>
              <w:rPr>
                <w:rFonts w:hint="eastAsia"/>
                <w:color w:val="000000" w:themeColor="text1"/>
                <w:sz w:val="24"/>
                <w:szCs w:val="24"/>
                <w:highlight w:val="none"/>
                <w:lang w:eastAsia="zh-CN"/>
                <w14:textFill>
                  <w14:solidFill>
                    <w14:schemeClr w14:val="tx1"/>
                  </w14:solidFill>
                </w14:textFill>
              </w:rPr>
              <w:t>拌和站共设置</w:t>
            </w:r>
            <w:r>
              <w:rPr>
                <w:rFonts w:hint="eastAsia"/>
                <w:color w:val="000000" w:themeColor="text1"/>
                <w:sz w:val="24"/>
                <w:szCs w:val="24"/>
                <w:highlight w:val="none"/>
                <w:lang w:val="en-US" w:eastAsia="zh-CN"/>
                <w14:textFill>
                  <w14:solidFill>
                    <w14:schemeClr w14:val="tx1"/>
                  </w14:solidFill>
                </w14:textFill>
              </w:rPr>
              <w:t>10个粉料储罐，分别储存</w:t>
            </w:r>
            <w:r>
              <w:rPr>
                <w:rFonts w:hint="eastAsia"/>
                <w:color w:val="000000" w:themeColor="text1"/>
                <w:sz w:val="24"/>
                <w:szCs w:val="24"/>
                <w:highlight w:val="none"/>
                <w14:textFill>
                  <w14:solidFill>
                    <w14:schemeClr w14:val="tx1"/>
                  </w14:solidFill>
                </w14:textFill>
              </w:rPr>
              <w:t>水泥、粉煤灰等</w:t>
            </w:r>
            <w:r>
              <w:rPr>
                <w:rFonts w:hint="eastAsia"/>
                <w:color w:val="000000" w:themeColor="text1"/>
                <w:sz w:val="24"/>
                <w:szCs w:val="24"/>
                <w:highlight w:val="none"/>
                <w:lang w:eastAsia="zh-CN"/>
                <w14:textFill>
                  <w14:solidFill>
                    <w14:schemeClr w14:val="tx1"/>
                  </w14:solidFill>
                </w14:textFill>
              </w:rPr>
              <w:t>粉料状原材料；</w:t>
            </w:r>
            <w:r>
              <w:rPr>
                <w:rFonts w:hint="eastAsia"/>
                <w:color w:val="000000" w:themeColor="text1"/>
                <w:sz w:val="24"/>
                <w:szCs w:val="24"/>
                <w:highlight w:val="none"/>
                <w:lang w:val="en-US" w:eastAsia="zh-CN"/>
                <w14:textFill>
                  <w14:solidFill>
                    <w14:schemeClr w14:val="tx1"/>
                  </w14:solidFill>
                </w14:textFill>
              </w:rPr>
              <w:t>水稳站</w:t>
            </w:r>
            <w:r>
              <w:rPr>
                <w:rFonts w:hint="eastAsia"/>
                <w:color w:val="000000" w:themeColor="text1"/>
                <w:sz w:val="24"/>
                <w:szCs w:val="24"/>
                <w:highlight w:val="none"/>
                <w:lang w:eastAsia="zh-CN"/>
                <w14:textFill>
                  <w14:solidFill>
                    <w14:schemeClr w14:val="tx1"/>
                  </w14:solidFill>
                </w14:textFill>
              </w:rPr>
              <w:t>共设置</w:t>
            </w:r>
            <w:r>
              <w:rPr>
                <w:rFonts w:hint="eastAsia"/>
                <w:color w:val="000000" w:themeColor="text1"/>
                <w:sz w:val="24"/>
                <w:szCs w:val="24"/>
                <w:highlight w:val="none"/>
                <w:lang w:val="en-US" w:eastAsia="zh-CN"/>
                <w14:textFill>
                  <w14:solidFill>
                    <w14:schemeClr w14:val="tx1"/>
                  </w14:solidFill>
                </w14:textFill>
              </w:rPr>
              <w:t>2个粉料储罐，储存</w:t>
            </w:r>
            <w:r>
              <w:rPr>
                <w:rFonts w:hint="eastAsia"/>
                <w:color w:val="000000" w:themeColor="text1"/>
                <w:sz w:val="24"/>
                <w:szCs w:val="24"/>
                <w:highlight w:val="none"/>
                <w14:textFill>
                  <w14:solidFill>
                    <w14:schemeClr w14:val="tx1"/>
                  </w14:solidFill>
                </w14:textFill>
              </w:rPr>
              <w:t>水泥</w:t>
            </w:r>
            <w:r>
              <w:rPr>
                <w:rFonts w:hint="eastAsia"/>
                <w:color w:val="000000" w:themeColor="text1"/>
                <w:sz w:val="24"/>
                <w:szCs w:val="24"/>
                <w:highlight w:val="none"/>
                <w:lang w:eastAsia="zh-CN"/>
                <w14:textFill>
                  <w14:solidFill>
                    <w14:schemeClr w14:val="tx1"/>
                  </w14:solidFill>
                </w14:textFill>
              </w:rPr>
              <w:t>。本</w:t>
            </w:r>
            <w:r>
              <w:rPr>
                <w:rFonts w:hint="default" w:ascii="Times New Roman" w:hAnsi="Times New Roman" w:cs="Times New Roman"/>
                <w:color w:val="000000" w:themeColor="text1"/>
                <w:sz w:val="24"/>
                <w:highlight w:val="none"/>
                <w14:textFill>
                  <w14:solidFill>
                    <w14:schemeClr w14:val="tx1"/>
                  </w14:solidFill>
                </w14:textFill>
              </w:rPr>
              <w:t>项目在筒仓放空口处安装自动衔接输料口，同时出料车辆接料口也相应配套自动衔接口，待每次放料结束后先关闭水泥筒仓放料口阀门，然后出料车辆才能行驶，如此不仅加强了输接料口的密封性，同时也减少了原料的损耗，从而降低了粉尘的排放量，同时，本项目对粉料筒仓进行全密闭</w:t>
            </w:r>
            <w:r>
              <w:rPr>
                <w:rFonts w:hint="default" w:ascii="Times New Roman" w:hAnsi="Times New Roman" w:cs="Times New Roman"/>
                <w:color w:val="000000" w:themeColor="text1"/>
                <w:sz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筒仓仓底采用负压吸风收尘装置，与仓顶呼吸孔共用一套仓顶除尘器</w:t>
            </w:r>
            <w:r>
              <w:rPr>
                <w:rFonts w:hint="eastAsia"/>
                <w:color w:val="000000" w:themeColor="text1"/>
                <w:sz w:val="24"/>
                <w:szCs w:val="24"/>
                <w:highlight w:val="none"/>
                <w:lang w:eastAsia="zh-CN"/>
                <w14:textFill>
                  <w14:solidFill>
                    <w14:schemeClr w14:val="tx1"/>
                  </w14:solidFill>
                </w14:textFill>
              </w:rPr>
              <w:t>（共</w:t>
            </w:r>
            <w:r>
              <w:rPr>
                <w:rFonts w:hint="eastAsia"/>
                <w:color w:val="000000" w:themeColor="text1"/>
                <w:sz w:val="24"/>
                <w:szCs w:val="24"/>
                <w:highlight w:val="none"/>
                <w:lang w:val="en-US" w:eastAsia="zh-CN"/>
                <w14:textFill>
                  <w14:solidFill>
                    <w14:schemeClr w14:val="tx1"/>
                  </w14:solidFill>
                </w14:textFill>
              </w:rPr>
              <w:t>12套</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，仓顶除尘器设置于筒仓仓顶，除尘器排气在密闭厂房中自然沉降后，以无组织方式排放。根据设备厂家提供的产品资料，仓顶除尘器的除尘效率设计为99.5%-99.9</w:t>
            </w:r>
            <w:r>
              <w:rPr>
                <w:rFonts w:hint="eastAsia"/>
                <w:color w:val="000000" w:themeColor="text1"/>
                <w:sz w:val="24"/>
                <w:szCs w:val="24"/>
                <w:highlight w:val="none"/>
                <w:lang w:val="en-US"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（本项目按最低除尘效率99.5%估算），则在除尘器正常工作的情况下，营运期</w:t>
            </w:r>
            <w:r>
              <w:rPr>
                <w:rFonts w:hint="eastAsia"/>
                <w:color w:val="000000" w:themeColor="text1"/>
                <w:sz w:val="24"/>
                <w:szCs w:val="24"/>
                <w:highlight w:val="none"/>
                <w:lang w:eastAsia="zh-CN"/>
                <w14:textFill>
                  <w14:solidFill>
                    <w14:schemeClr w14:val="tx1"/>
                  </w14:solidFill>
                </w14:textFill>
              </w:rPr>
              <w:t>拌和站</w:t>
            </w:r>
            <w:r>
              <w:rPr>
                <w:rFonts w:hint="eastAsia"/>
                <w:color w:val="000000" w:themeColor="text1"/>
                <w:sz w:val="24"/>
                <w:szCs w:val="24"/>
                <w:highlight w:val="none"/>
                <w14:textFill>
                  <w14:solidFill>
                    <w14:schemeClr w14:val="tx1"/>
                  </w14:solidFill>
                </w14:textFill>
              </w:rPr>
              <w:t>筒仓顶呼吸孔粉尘排放量约为0.</w:t>
            </w:r>
            <w:r>
              <w:rPr>
                <w:rFonts w:hint="eastAsia"/>
                <w:color w:val="000000" w:themeColor="text1"/>
                <w:sz w:val="24"/>
                <w:szCs w:val="24"/>
                <w:highlight w:val="none"/>
                <w:lang w:val="en-US" w:eastAsia="zh-CN"/>
                <w14:textFill>
                  <w14:solidFill>
                    <w14:schemeClr w14:val="tx1"/>
                  </w14:solidFill>
                </w14:textFill>
              </w:rPr>
              <w:t>0204t/a</w:t>
            </w:r>
            <w:r>
              <w:rPr>
                <w:rFonts w:hint="eastAsia"/>
                <w:color w:val="000000" w:themeColor="text1"/>
                <w:sz w:val="24"/>
                <w:szCs w:val="24"/>
                <w:highlight w:val="none"/>
                <w14:textFill>
                  <w14:solidFill>
                    <w14:schemeClr w14:val="tx1"/>
                  </w14:solidFill>
                </w14:textFill>
              </w:rPr>
              <w:t>，排放速率为</w:t>
            </w:r>
            <w:r>
              <w:rPr>
                <w:rFonts w:hint="eastAsia"/>
                <w:color w:val="000000" w:themeColor="text1"/>
                <w:sz w:val="24"/>
                <w:szCs w:val="24"/>
                <w:highlight w:val="none"/>
                <w:lang w:val="en-US" w:eastAsia="zh-CN"/>
                <w14:textFill>
                  <w14:solidFill>
                    <w14:schemeClr w14:val="tx1"/>
                  </w14:solidFill>
                </w14:textFill>
              </w:rPr>
              <w:t>0.0058</w:t>
            </w:r>
            <w:r>
              <w:rPr>
                <w:rFonts w:hint="eastAsia"/>
                <w:color w:val="000000" w:themeColor="text1"/>
                <w:sz w:val="24"/>
                <w:szCs w:val="24"/>
                <w:highlight w:val="none"/>
                <w14:textFill>
                  <w14:solidFill>
                    <w14:schemeClr w14:val="tx1"/>
                  </w14:solidFill>
                </w14:textFill>
              </w:rPr>
              <w:t>kg/h。</w:t>
            </w:r>
            <w:r>
              <w:rPr>
                <w:rFonts w:hint="eastAsia"/>
                <w:color w:val="000000" w:themeColor="text1"/>
                <w:sz w:val="24"/>
                <w:szCs w:val="24"/>
                <w:highlight w:val="none"/>
                <w:lang w:eastAsia="zh-CN"/>
                <w14:textFill>
                  <w14:solidFill>
                    <w14:schemeClr w14:val="tx1"/>
                  </w14:solidFill>
                </w14:textFill>
              </w:rPr>
              <w:t>水稳站</w:t>
            </w:r>
            <w:r>
              <w:rPr>
                <w:rFonts w:hint="eastAsia"/>
                <w:color w:val="000000" w:themeColor="text1"/>
                <w:sz w:val="24"/>
                <w:szCs w:val="24"/>
                <w:highlight w:val="none"/>
                <w14:textFill>
                  <w14:solidFill>
                    <w14:schemeClr w14:val="tx1"/>
                  </w14:solidFill>
                </w14:textFill>
              </w:rPr>
              <w:t>筒仓顶呼吸孔粉尘排放量约为</w:t>
            </w:r>
            <w:r>
              <w:rPr>
                <w:rFonts w:hint="eastAsia"/>
                <w:color w:val="000000" w:themeColor="text1"/>
                <w:sz w:val="24"/>
                <w:szCs w:val="24"/>
                <w:highlight w:val="none"/>
                <w:lang w:val="en-US" w:eastAsia="zh-CN"/>
                <w14:textFill>
                  <w14:solidFill>
                    <w14:schemeClr w14:val="tx1"/>
                  </w14:solidFill>
                </w14:textFill>
              </w:rPr>
              <w:t>0.009t/a</w:t>
            </w:r>
            <w:r>
              <w:rPr>
                <w:rFonts w:hint="eastAsia"/>
                <w:color w:val="000000" w:themeColor="text1"/>
                <w:sz w:val="24"/>
                <w:szCs w:val="24"/>
                <w:highlight w:val="none"/>
                <w14:textFill>
                  <w14:solidFill>
                    <w14:schemeClr w14:val="tx1"/>
                  </w14:solidFill>
                </w14:textFill>
              </w:rPr>
              <w:t>，排放速率为</w:t>
            </w:r>
            <w:r>
              <w:rPr>
                <w:rFonts w:hint="eastAsia"/>
                <w:color w:val="000000" w:themeColor="text1"/>
                <w:sz w:val="24"/>
                <w:szCs w:val="24"/>
                <w:highlight w:val="none"/>
                <w:lang w:val="en-US" w:eastAsia="zh-CN"/>
                <w14:textFill>
                  <w14:solidFill>
                    <w14:schemeClr w14:val="tx1"/>
                  </w14:solidFill>
                </w14:textFill>
              </w:rPr>
              <w:t>0.0026</w:t>
            </w:r>
            <w:r>
              <w:rPr>
                <w:rFonts w:hint="eastAsia"/>
                <w:color w:val="000000" w:themeColor="text1"/>
                <w:sz w:val="24"/>
                <w:szCs w:val="24"/>
                <w:highlight w:val="none"/>
                <w14:textFill>
                  <w14:solidFill>
                    <w14:schemeClr w14:val="tx1"/>
                  </w14:solidFill>
                </w14:textFill>
              </w:rPr>
              <w:t>kg/h。</w:t>
            </w:r>
            <w:r>
              <w:rPr>
                <w:rFonts w:hint="default" w:ascii="Times New Roman" w:hAnsi="Times New Roman" w:cs="Times New Roman"/>
                <w:color w:val="000000" w:themeColor="text1"/>
                <w:sz w:val="24"/>
                <w:szCs w:val="22"/>
                <w:highlight w:val="none"/>
                <w:lang w:eastAsia="zh-CN"/>
                <w14:textFill>
                  <w14:solidFill>
                    <w14:schemeClr w14:val="tx1"/>
                  </w14:solidFill>
                </w14:textFill>
              </w:rPr>
              <w:t>每个筒仓顶部</w:t>
            </w:r>
            <w:r>
              <w:rPr>
                <w:rFonts w:hint="default" w:ascii="Times New Roman" w:hAnsi="Times New Roman" w:cs="Times New Roman"/>
                <w:color w:val="000000" w:themeColor="text1"/>
                <w:sz w:val="24"/>
                <w:szCs w:val="22"/>
                <w:highlight w:val="none"/>
                <w14:textFill>
                  <w14:solidFill>
                    <w14:schemeClr w14:val="tx1"/>
                  </w14:solidFill>
                </w14:textFill>
              </w:rPr>
              <w:t>单台除尘器风机风量</w:t>
            </w:r>
            <w:r>
              <w:rPr>
                <w:rFonts w:hint="eastAsia" w:cs="Times New Roman"/>
                <w:color w:val="000000" w:themeColor="text1"/>
                <w:sz w:val="24"/>
                <w:szCs w:val="22"/>
                <w:highlight w:val="none"/>
                <w:lang w:eastAsia="zh-CN"/>
                <w14:textFill>
                  <w14:solidFill>
                    <w14:schemeClr w14:val="tx1"/>
                  </w14:solidFill>
                </w14:textFill>
              </w:rPr>
              <w:t>约</w:t>
            </w:r>
            <w:r>
              <w:rPr>
                <w:rFonts w:hint="default" w:ascii="Times New Roman" w:hAnsi="Times New Roman" w:cs="Times New Roman"/>
                <w:color w:val="000000" w:themeColor="text1"/>
                <w:sz w:val="24"/>
                <w:szCs w:val="22"/>
                <w:highlight w:val="none"/>
                <w14:textFill>
                  <w14:solidFill>
                    <w14:schemeClr w14:val="tx1"/>
                  </w14:solidFill>
                </w14:textFill>
              </w:rPr>
              <w:t>为</w:t>
            </w:r>
            <w:r>
              <w:rPr>
                <w:rFonts w:hint="eastAsia" w:cs="Times New Roman"/>
                <w:color w:val="000000" w:themeColor="text1"/>
                <w:sz w:val="24"/>
                <w:szCs w:val="22"/>
                <w:highlight w:val="none"/>
                <w:lang w:val="en-US" w:eastAsia="zh-CN"/>
                <w14:textFill>
                  <w14:solidFill>
                    <w14:schemeClr w14:val="tx1"/>
                  </w14:solidFill>
                </w14:textFill>
              </w:rPr>
              <w:t>5</w:t>
            </w:r>
            <w:r>
              <w:rPr>
                <w:rFonts w:hint="default" w:ascii="Times New Roman" w:hAnsi="Times New Roman" w:cs="Times New Roman"/>
                <w:color w:val="000000" w:themeColor="text1"/>
                <w:sz w:val="24"/>
                <w:szCs w:val="22"/>
                <w:highlight w:val="none"/>
                <w14:textFill>
                  <w14:solidFill>
                    <w14:schemeClr w14:val="tx1"/>
                  </w14:solidFill>
                </w14:textFill>
              </w:rPr>
              <w:t>00m</w:t>
            </w:r>
            <w:r>
              <w:rPr>
                <w:rFonts w:hint="default" w:ascii="Times New Roman" w:hAnsi="Times New Roman" w:cs="Times New Roman"/>
                <w:color w:val="000000" w:themeColor="text1"/>
                <w:sz w:val="24"/>
                <w:szCs w:val="22"/>
                <w:highlight w:val="none"/>
                <w:vertAlign w:val="superscript"/>
                <w14:textFill>
                  <w14:solidFill>
                    <w14:schemeClr w14:val="tx1"/>
                  </w14:solidFill>
                </w14:textFill>
              </w:rPr>
              <w:t>3</w:t>
            </w:r>
            <w:r>
              <w:rPr>
                <w:rFonts w:hint="default" w:ascii="Times New Roman" w:hAnsi="Times New Roman" w:cs="Times New Roman"/>
                <w:color w:val="000000" w:themeColor="text1"/>
                <w:sz w:val="24"/>
                <w:szCs w:val="22"/>
                <w:highlight w:val="none"/>
                <w14:textFill>
                  <w14:solidFill>
                    <w14:schemeClr w14:val="tx1"/>
                  </w14:solidFill>
                </w14:textFill>
              </w:rPr>
              <w:t>/h，</w:t>
            </w:r>
            <w:r>
              <w:rPr>
                <w:rFonts w:hint="eastAsia" w:cs="Times New Roman"/>
                <w:color w:val="000000" w:themeColor="text1"/>
                <w:sz w:val="24"/>
                <w:szCs w:val="22"/>
                <w:highlight w:val="none"/>
                <w:lang w:eastAsia="zh-CN"/>
                <w14:textFill>
                  <w14:solidFill>
                    <w14:schemeClr w14:val="tx1"/>
                  </w14:solidFill>
                </w14:textFill>
              </w:rPr>
              <w:t>则处理后</w:t>
            </w:r>
            <w:r>
              <w:rPr>
                <w:rFonts w:hint="eastAsia"/>
                <w:color w:val="000000" w:themeColor="text1"/>
                <w:sz w:val="24"/>
                <w:szCs w:val="24"/>
                <w:highlight w:val="none"/>
                <w:lang w:eastAsia="zh-CN"/>
                <w14:textFill>
                  <w14:solidFill>
                    <w14:schemeClr w14:val="tx1"/>
                  </w14:solidFill>
                </w14:textFill>
              </w:rPr>
              <w:t>拌和站</w:t>
            </w:r>
            <w:r>
              <w:rPr>
                <w:rFonts w:hint="eastAsia" w:cs="Times New Roman"/>
                <w:color w:val="000000" w:themeColor="text1"/>
                <w:sz w:val="24"/>
                <w:szCs w:val="22"/>
                <w:highlight w:val="none"/>
                <w:lang w:eastAsia="zh-CN"/>
                <w14:textFill>
                  <w14:solidFill>
                    <w14:schemeClr w14:val="tx1"/>
                  </w14:solidFill>
                </w14:textFill>
              </w:rPr>
              <w:t>筒仓呼吸</w:t>
            </w:r>
            <w:r>
              <w:rPr>
                <w:rFonts w:hint="eastAsia"/>
                <w:color w:val="000000" w:themeColor="text1"/>
                <w:sz w:val="24"/>
                <w:szCs w:val="24"/>
                <w:highlight w:val="none"/>
                <w14:textFill>
                  <w14:solidFill>
                    <w14:schemeClr w14:val="tx1"/>
                  </w14:solidFill>
                </w14:textFill>
              </w:rPr>
              <w:t>粉尘</w:t>
            </w:r>
            <w:r>
              <w:rPr>
                <w:rFonts w:hint="eastAsia"/>
                <w:color w:val="000000" w:themeColor="text1"/>
                <w:sz w:val="24"/>
                <w:szCs w:val="24"/>
                <w:highlight w:val="none"/>
                <w:lang w:eastAsia="zh-CN"/>
                <w14:textFill>
                  <w14:solidFill>
                    <w14:schemeClr w14:val="tx1"/>
                  </w14:solidFill>
                </w14:textFill>
              </w:rPr>
              <w:t>排放浓度为</w:t>
            </w:r>
            <w:r>
              <w:rPr>
                <w:rFonts w:hint="eastAsia"/>
                <w:color w:val="000000" w:themeColor="text1"/>
                <w:sz w:val="24"/>
                <w:szCs w:val="24"/>
                <w:highlight w:val="none"/>
                <w:lang w:val="en-US" w:eastAsia="zh-CN"/>
                <w14:textFill>
                  <w14:solidFill>
                    <w14:schemeClr w14:val="tx1"/>
                  </w14:solidFill>
                </w14:textFill>
              </w:rPr>
              <w:t>1.16</w:t>
            </w:r>
            <w:r>
              <w:rPr>
                <w:rFonts w:hint="default" w:ascii="Times New Roman" w:hAnsi="Times New Roman" w:cs="Times New Roman"/>
                <w:color w:val="000000" w:themeColor="text1"/>
                <w:sz w:val="24"/>
                <w:highlight w:val="none"/>
                <w14:textFill>
                  <w14:solidFill>
                    <w14:schemeClr w14:val="tx1"/>
                  </w14:solidFill>
                </w14:textFill>
              </w:rPr>
              <w:t>mg/m</w:t>
            </w:r>
            <w:r>
              <w:rPr>
                <w:rFonts w:hint="default" w:ascii="Times New Roman" w:hAnsi="Times New Roman" w:cs="Times New Roman"/>
                <w:color w:val="000000" w:themeColor="text1"/>
                <w:sz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w:t>
            </w:r>
            <w:r>
              <w:rPr>
                <w:rFonts w:hint="eastAsia" w:ascii="Times New Roman" w:hAnsi="Times New Roman" w:cs="Times New Roman"/>
                <w:color w:val="000000" w:themeColor="text1"/>
                <w:sz w:val="24"/>
                <w:highlight w:val="none"/>
                <w:lang w:eastAsia="zh-CN"/>
                <w14:textFill>
                  <w14:solidFill>
                    <w14:schemeClr w14:val="tx1"/>
                  </w14:solidFill>
                </w14:textFill>
              </w:rPr>
              <w:t>水稳站</w:t>
            </w:r>
            <w:r>
              <w:rPr>
                <w:rFonts w:hint="eastAsia" w:cs="Times New Roman"/>
                <w:color w:val="000000" w:themeColor="text1"/>
                <w:sz w:val="24"/>
                <w:szCs w:val="22"/>
                <w:highlight w:val="none"/>
                <w:lang w:eastAsia="zh-CN"/>
                <w14:textFill>
                  <w14:solidFill>
                    <w14:schemeClr w14:val="tx1"/>
                  </w14:solidFill>
                </w14:textFill>
              </w:rPr>
              <w:t>筒仓呼吸</w:t>
            </w:r>
            <w:r>
              <w:rPr>
                <w:rFonts w:hint="eastAsia"/>
                <w:color w:val="000000" w:themeColor="text1"/>
                <w:sz w:val="24"/>
                <w:szCs w:val="24"/>
                <w:highlight w:val="none"/>
                <w14:textFill>
                  <w14:solidFill>
                    <w14:schemeClr w14:val="tx1"/>
                  </w14:solidFill>
                </w14:textFill>
              </w:rPr>
              <w:t>粉尘</w:t>
            </w:r>
            <w:r>
              <w:rPr>
                <w:rFonts w:hint="eastAsia"/>
                <w:color w:val="000000" w:themeColor="text1"/>
                <w:sz w:val="24"/>
                <w:szCs w:val="24"/>
                <w:highlight w:val="none"/>
                <w:lang w:eastAsia="zh-CN"/>
                <w14:textFill>
                  <w14:solidFill>
                    <w14:schemeClr w14:val="tx1"/>
                  </w14:solidFill>
                </w14:textFill>
              </w:rPr>
              <w:t>排放浓度为</w:t>
            </w:r>
            <w:r>
              <w:rPr>
                <w:rFonts w:hint="eastAsia"/>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color w:val="000000" w:themeColor="text1"/>
                <w:sz w:val="24"/>
                <w:highlight w:val="none"/>
                <w14:textFill>
                  <w14:solidFill>
                    <w14:schemeClr w14:val="tx1"/>
                  </w14:solidFill>
                </w14:textFill>
              </w:rPr>
              <w:t>mg/m</w:t>
            </w:r>
            <w:r>
              <w:rPr>
                <w:rFonts w:hint="default" w:ascii="Times New Roman" w:hAnsi="Times New Roman" w:cs="Times New Roman"/>
                <w:color w:val="000000" w:themeColor="text1"/>
                <w:sz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，本项目各筒仓粉尘排放浓度能够满足</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四川省水泥工业大气污染物排放标准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w:t>
            </w:r>
            <w:r>
              <w:rPr>
                <w:rFonts w:hint="eastAsia" w:ascii="Times New Roman" w:hAnsi="Times New Roman" w:eastAsia="宋体"/>
                <w:color w:val="000000" w:themeColor="text1"/>
                <w:kern w:val="0"/>
                <w:sz w:val="24"/>
                <w:szCs w:val="24"/>
                <w:highlight w:val="none"/>
                <w14:textFill>
                  <w14:solidFill>
                    <w14:schemeClr w14:val="tx1"/>
                  </w14:solidFill>
                </w14:textFill>
              </w:rPr>
              <w:t>（DB51 2864 -2021）中</w:t>
            </w:r>
            <w:r>
              <w:rPr>
                <w:rFonts w:hint="default" w:ascii="Times New Roman" w:hAnsi="Times New Roman" w:cs="Times New Roman"/>
                <w:color w:val="000000" w:themeColor="text1"/>
                <w:sz w:val="24"/>
                <w:highlight w:val="none"/>
                <w14:textFill>
                  <w14:solidFill>
                    <w14:schemeClr w14:val="tx1"/>
                  </w14:solidFill>
                </w14:textFill>
              </w:rPr>
              <w:t>表1大气污染物排放限值</w:t>
            </w:r>
            <w:r>
              <w:rPr>
                <w:rFonts w:hint="eastAsia" w:cs="Times New Roman"/>
                <w:color w:val="000000" w:themeColor="text1"/>
                <w:sz w:val="24"/>
                <w:highlight w:val="none"/>
                <w:lang w:eastAsia="zh-CN"/>
                <w14:textFill>
                  <w14:solidFill>
                    <w14:schemeClr w14:val="tx1"/>
                  </w14:solidFill>
                </w14:textFill>
              </w:rPr>
              <w:t>，</w:t>
            </w:r>
            <w:r>
              <w:rPr>
                <w:rFonts w:hint="default" w:ascii="Times New Roman" w:hAnsi="Times New Roman" w:cs="Times New Roman"/>
                <w:color w:val="000000" w:themeColor="text1"/>
                <w:sz w:val="24"/>
                <w:highlight w:val="none"/>
                <w14:textFill>
                  <w14:solidFill>
                    <w14:schemeClr w14:val="tx1"/>
                  </w14:solidFill>
                </w14:textFill>
              </w:rPr>
              <w:t>颗粒物：</w:t>
            </w:r>
            <w:r>
              <w:rPr>
                <w:rFonts w:hint="eastAsia" w:cs="Times New Roman"/>
                <w:color w:val="000000" w:themeColor="text1"/>
                <w:sz w:val="24"/>
                <w:highlight w:val="none"/>
                <w:lang w:val="en-US" w:eastAsia="zh-CN"/>
                <w14:textFill>
                  <w14:solidFill>
                    <w14:schemeClr w14:val="tx1"/>
                  </w14:solidFill>
                </w14:textFill>
              </w:rPr>
              <w:t>10</w:t>
            </w:r>
            <w:r>
              <w:rPr>
                <w:rFonts w:hint="default" w:ascii="Times New Roman" w:hAnsi="Times New Roman" w:cs="Times New Roman"/>
                <w:color w:val="000000" w:themeColor="text1"/>
                <w:sz w:val="24"/>
                <w:highlight w:val="none"/>
                <w14:textFill>
                  <w14:solidFill>
                    <w14:schemeClr w14:val="tx1"/>
                  </w14:solidFill>
                </w14:textFill>
              </w:rPr>
              <w:t>mg/m</w:t>
            </w:r>
            <w:r>
              <w:rPr>
                <w:rFonts w:hint="default" w:ascii="Times New Roman" w:hAnsi="Times New Roman" w:cs="Times New Roman"/>
                <w:color w:val="000000" w:themeColor="text1"/>
                <w:sz w:val="24"/>
                <w:highlight w:val="none"/>
                <w:vertAlign w:val="superscript"/>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w:t>
            </w:r>
          </w:p>
          <w:p w14:paraId="397D3ACA">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5、搅拌机搅拌粉尘</w:t>
            </w:r>
            <w:r>
              <w:rPr>
                <w:rFonts w:hint="eastAsia"/>
                <w:b/>
                <w:bCs/>
                <w:color w:val="000000" w:themeColor="text1"/>
                <w:sz w:val="24"/>
                <w:szCs w:val="24"/>
                <w:highlight w:val="none"/>
                <w:lang w:eastAsia="zh-CN"/>
                <w14:textFill>
                  <w14:solidFill>
                    <w14:schemeClr w14:val="tx1"/>
                  </w14:solidFill>
                </w14:textFill>
              </w:rPr>
              <w:t>（含投料粉尘）</w:t>
            </w:r>
          </w:p>
          <w:p w14:paraId="7241AAE7">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（1）产生情况</w:t>
            </w:r>
          </w:p>
          <w:p w14:paraId="01DB7401">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w:t>
            </w:r>
            <w:r>
              <w:rPr>
                <w:rFonts w:hint="eastAsia"/>
                <w:color w:val="000000" w:themeColor="text1"/>
                <w:sz w:val="24"/>
                <w:szCs w:val="24"/>
                <w:highlight w:val="none"/>
                <w:lang w:eastAsia="zh-CN"/>
                <w14:textFill>
                  <w14:solidFill>
                    <w14:schemeClr w14:val="tx1"/>
                  </w14:solidFill>
                </w14:textFill>
              </w:rPr>
              <w:t>拌和站及水稳站</w:t>
            </w:r>
            <w:r>
              <w:rPr>
                <w:rFonts w:hint="eastAsia"/>
                <w:color w:val="000000" w:themeColor="text1"/>
                <w:sz w:val="24"/>
                <w:szCs w:val="24"/>
                <w:highlight w:val="none"/>
                <w14:textFill>
                  <w14:solidFill>
                    <w14:schemeClr w14:val="tx1"/>
                  </w14:solidFill>
                </w14:textFill>
              </w:rPr>
              <w:t>搅拌机拌料时需加水搅拌，由于物料含水率较髙，搅拌过程基本不产生粉尘，但泵送粉料落入搅拌机内时会产生少量的投料粉尘。</w:t>
            </w:r>
          </w:p>
          <w:p w14:paraId="51AC8CC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参照《全国第二次污染源普查工业源产排污系数手册》中“3021 水泥制品制造（含 3022 砼结构构件制造、3029 其他水泥类似制品制造）行业系数手册 ”进行核算，具体产污系数见表4-</w:t>
            </w: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4</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p>
          <w:p w14:paraId="30AB4EAB">
            <w:pPr>
              <w:ind w:left="48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表</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4-</w:t>
            </w: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4 </w:t>
            </w:r>
            <w:r>
              <w:rPr>
                <w:rFonts w:hint="default" w:ascii="Times New Roman" w:hAnsi="Times New Roman" w:eastAsia="宋体" w:cs="Times New Roman"/>
                <w:b/>
                <w:bCs/>
                <w:color w:val="000000" w:themeColor="text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Cs w:val="21"/>
                <w:highlight w:val="none"/>
                <w14:textFill>
                  <w14:solidFill>
                    <w14:schemeClr w14:val="tx1"/>
                  </w14:solidFill>
                </w14:textFill>
              </w:rPr>
              <w:t xml:space="preserve">  3021 水泥制品制造行业产排污系数表</w:t>
            </w:r>
          </w:p>
          <w:tbl>
            <w:tblPr>
              <w:tblStyle w:val="20"/>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42"/>
              <w:gridCol w:w="796"/>
              <w:gridCol w:w="1200"/>
              <w:gridCol w:w="1366"/>
              <w:gridCol w:w="900"/>
              <w:gridCol w:w="617"/>
              <w:gridCol w:w="733"/>
              <w:gridCol w:w="1234"/>
              <w:gridCol w:w="678"/>
            </w:tblGrid>
            <w:tr w14:paraId="41ECCC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7" w:type="pct"/>
                  <w:noWrap w:val="0"/>
                  <w:vAlign w:val="center"/>
                </w:tcPr>
                <w:p w14:paraId="04469834">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lang w:eastAsia="zh-CN"/>
                      <w14:textFill>
                        <w14:solidFill>
                          <w14:schemeClr w14:val="tx1"/>
                        </w14:solidFill>
                      </w14:textFill>
                    </w:rPr>
                    <w:t>工段名称</w:t>
                  </w:r>
                </w:p>
              </w:tc>
              <w:tc>
                <w:tcPr>
                  <w:tcW w:w="499" w:type="pct"/>
                  <w:noWrap w:val="0"/>
                  <w:vAlign w:val="center"/>
                </w:tcPr>
                <w:p w14:paraId="14A934E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产品</w:t>
                  </w:r>
                </w:p>
                <w:p w14:paraId="1270784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名称</w:t>
                  </w:r>
                </w:p>
              </w:tc>
              <w:tc>
                <w:tcPr>
                  <w:tcW w:w="753" w:type="pct"/>
                  <w:noWrap w:val="0"/>
                  <w:vAlign w:val="center"/>
                </w:tcPr>
                <w:p w14:paraId="1F9F0027">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原料名称</w:t>
                  </w:r>
                </w:p>
              </w:tc>
              <w:tc>
                <w:tcPr>
                  <w:tcW w:w="857" w:type="pct"/>
                  <w:noWrap w:val="0"/>
                  <w:vAlign w:val="center"/>
                </w:tcPr>
                <w:p w14:paraId="225A1D1F">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工艺名称</w:t>
                  </w:r>
                </w:p>
              </w:tc>
              <w:tc>
                <w:tcPr>
                  <w:tcW w:w="564" w:type="pct"/>
                  <w:noWrap w:val="0"/>
                  <w:vAlign w:val="center"/>
                </w:tcPr>
                <w:p w14:paraId="24C7C405">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规模等级</w:t>
                  </w:r>
                </w:p>
              </w:tc>
              <w:tc>
                <w:tcPr>
                  <w:tcW w:w="847" w:type="pct"/>
                  <w:gridSpan w:val="2"/>
                  <w:noWrap w:val="0"/>
                  <w:vAlign w:val="center"/>
                </w:tcPr>
                <w:p w14:paraId="09076BFF">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污染物指标</w:t>
                  </w:r>
                </w:p>
              </w:tc>
              <w:tc>
                <w:tcPr>
                  <w:tcW w:w="774" w:type="pct"/>
                  <w:noWrap w:val="0"/>
                  <w:vAlign w:val="center"/>
                </w:tcPr>
                <w:p w14:paraId="557A92C5">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单位</w:t>
                  </w:r>
                </w:p>
              </w:tc>
              <w:tc>
                <w:tcPr>
                  <w:tcW w:w="425" w:type="pct"/>
                  <w:noWrap w:val="0"/>
                  <w:vAlign w:val="center"/>
                </w:tcPr>
                <w:p w14:paraId="3624A754">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产污</w:t>
                  </w:r>
                </w:p>
                <w:p w14:paraId="392765BF">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
                      <w:color w:val="000000" w:themeColor="text1"/>
                      <w:sz w:val="21"/>
                      <w:szCs w:val="21"/>
                      <w:highlight w:val="none"/>
                      <w14:textFill>
                        <w14:solidFill>
                          <w14:schemeClr w14:val="tx1"/>
                        </w14:solidFill>
                      </w14:textFill>
                    </w:rPr>
                  </w:pPr>
                  <w:r>
                    <w:rPr>
                      <w:rFonts w:hint="default" w:ascii="Times New Roman" w:hAnsi="Times New Roman" w:eastAsia="宋体" w:cs="Times New Roman"/>
                      <w:b/>
                      <w:color w:val="000000" w:themeColor="text1"/>
                      <w:kern w:val="0"/>
                      <w:sz w:val="21"/>
                      <w:szCs w:val="21"/>
                      <w:highlight w:val="none"/>
                      <w14:textFill>
                        <w14:solidFill>
                          <w14:schemeClr w14:val="tx1"/>
                        </w14:solidFill>
                      </w14:textFill>
                    </w:rPr>
                    <w:t>系数</w:t>
                  </w:r>
                </w:p>
              </w:tc>
            </w:tr>
            <w:tr w14:paraId="346A4F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7" w:type="pct"/>
                  <w:noWrap w:val="0"/>
                  <w:vAlign w:val="center"/>
                </w:tcPr>
                <w:p w14:paraId="204AEB8D">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物料输送</w:t>
                  </w:r>
                </w:p>
              </w:tc>
              <w:tc>
                <w:tcPr>
                  <w:tcW w:w="499" w:type="pct"/>
                  <w:noWrap w:val="0"/>
                  <w:vAlign w:val="center"/>
                </w:tcPr>
                <w:p w14:paraId="517182E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混凝土制品</w:t>
                  </w:r>
                </w:p>
              </w:tc>
              <w:tc>
                <w:tcPr>
                  <w:tcW w:w="753" w:type="pct"/>
                  <w:noWrap w:val="0"/>
                  <w:vAlign w:val="center"/>
                </w:tcPr>
                <w:p w14:paraId="21CD9896">
                  <w:pPr>
                    <w:keepNext w:val="0"/>
                    <w:keepLines w:val="0"/>
                    <w:pageBreakBefore w:val="0"/>
                    <w:kinsoku/>
                    <w:wordWrap/>
                    <w:overflowPunct/>
                    <w:topLinePunct w:val="0"/>
                    <w:autoSpaceDE w:val="0"/>
                    <w:autoSpaceDN w:val="0"/>
                    <w:bidi w:val="0"/>
                    <w:adjustRightInd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水泥、砂子、石子等</w:t>
                  </w:r>
                </w:p>
              </w:tc>
              <w:tc>
                <w:tcPr>
                  <w:tcW w:w="857" w:type="pct"/>
                  <w:noWrap w:val="0"/>
                  <w:vAlign w:val="center"/>
                </w:tcPr>
                <w:p w14:paraId="0728722B">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物料混合搅拌</w:t>
                  </w:r>
                </w:p>
              </w:tc>
              <w:tc>
                <w:tcPr>
                  <w:tcW w:w="564" w:type="pct"/>
                  <w:noWrap w:val="0"/>
                  <w:vAlign w:val="center"/>
                </w:tcPr>
                <w:p w14:paraId="187A64CB">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eastAsia="zh-CN"/>
                      <w14:textFill>
                        <w14:solidFill>
                          <w14:schemeClr w14:val="tx1"/>
                        </w14:solidFill>
                      </w14:textFill>
                    </w:rPr>
                    <w:t>所有规模</w:t>
                  </w:r>
                </w:p>
              </w:tc>
              <w:tc>
                <w:tcPr>
                  <w:tcW w:w="387" w:type="pct"/>
                  <w:noWrap w:val="0"/>
                  <w:vAlign w:val="center"/>
                </w:tcPr>
                <w:p w14:paraId="0762BD58">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废气</w:t>
                  </w:r>
                </w:p>
              </w:tc>
              <w:tc>
                <w:tcPr>
                  <w:tcW w:w="460" w:type="pct"/>
                  <w:noWrap w:val="0"/>
                  <w:vAlign w:val="center"/>
                </w:tcPr>
                <w:p w14:paraId="1B282792">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颗粒物</w:t>
                  </w:r>
                </w:p>
              </w:tc>
              <w:tc>
                <w:tcPr>
                  <w:tcW w:w="774" w:type="pct"/>
                  <w:noWrap w:val="0"/>
                  <w:vAlign w:val="center"/>
                </w:tcPr>
                <w:p w14:paraId="6120182E">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14:textFill>
                        <w14:solidFill>
                          <w14:schemeClr w14:val="tx1"/>
                        </w14:solidFill>
                      </w14:textFill>
                    </w:rPr>
                    <w:t>千克/</w:t>
                  </w:r>
                  <w:r>
                    <w:rPr>
                      <w:rFonts w:hint="default" w:ascii="Times New Roman" w:hAnsi="Times New Roman" w:eastAsia="宋体" w:cs="Times New Roman"/>
                      <w:color w:val="000000" w:themeColor="text1"/>
                      <w:kern w:val="0"/>
                      <w:sz w:val="21"/>
                      <w:szCs w:val="21"/>
                      <w:highlight w:val="none"/>
                      <w:lang w:eastAsia="zh-CN"/>
                      <w14:textFill>
                        <w14:solidFill>
                          <w14:schemeClr w14:val="tx1"/>
                        </w14:solidFill>
                      </w14:textFill>
                    </w:rPr>
                    <w:t>吨</w:t>
                  </w: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-产品</w:t>
                  </w:r>
                </w:p>
              </w:tc>
              <w:tc>
                <w:tcPr>
                  <w:tcW w:w="425" w:type="pct"/>
                  <w:noWrap w:val="0"/>
                  <w:vAlign w:val="center"/>
                </w:tcPr>
                <w:p w14:paraId="65D41DB9">
                  <w:pPr>
                    <w:keepNext w:val="0"/>
                    <w:keepLines w:val="0"/>
                    <w:pageBreakBefore w:val="0"/>
                    <w:kinsoku/>
                    <w:wordWrap/>
                    <w:overflowPunct/>
                    <w:topLinePunct w:val="0"/>
                    <w:bidi w:val="0"/>
                    <w:snapToGrid w:val="0"/>
                    <w:jc w:val="center"/>
                    <w:textAlignment w:val="auto"/>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0.13</w:t>
                  </w:r>
                </w:p>
              </w:tc>
            </w:tr>
          </w:tbl>
          <w:p w14:paraId="412A1709">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default" w:ascii="Times New Roman" w:hAnsi="Times New Roman" w:cs="Times New Roman"/>
                <w:color w:val="000000" w:themeColor="text1"/>
                <w:sz w:val="24"/>
                <w:highlight w:val="none"/>
                <w:lang w:val="en-US" w:eastAsia="zh-CN"/>
                <w14:textFill>
                  <w14:solidFill>
                    <w14:schemeClr w14:val="tx1"/>
                  </w14:solidFill>
                </w14:textFill>
              </w:rPr>
              <w:t>参照表4-</w:t>
            </w:r>
            <w:r>
              <w:rPr>
                <w:rFonts w:hint="eastAsia" w:ascii="Times New Roman" w:hAnsi="Times New Roman" w:cs="Times New Roman"/>
                <w:color w:val="000000" w:themeColor="text1"/>
                <w:sz w:val="24"/>
                <w:highlight w:val="none"/>
                <w:lang w:val="en-US" w:eastAsia="zh-CN"/>
                <w14:textFill>
                  <w14:solidFill>
                    <w14:schemeClr w14:val="tx1"/>
                  </w14:solidFill>
                </w14:textFill>
              </w:rPr>
              <w:t>4</w:t>
            </w:r>
            <w:r>
              <w:rPr>
                <w:rFonts w:hint="default" w:ascii="Times New Roman" w:hAnsi="Times New Roman" w:cs="Times New Roman"/>
                <w:color w:val="000000" w:themeColor="text1"/>
                <w:sz w:val="24"/>
                <w:highlight w:val="none"/>
                <w:lang w:val="en-US" w:eastAsia="zh-CN"/>
                <w14:textFill>
                  <w14:solidFill>
                    <w14:schemeClr w14:val="tx1"/>
                  </w14:solidFill>
                </w14:textFill>
              </w:rPr>
              <w:t>，本项目共生产商品混凝土</w:t>
            </w:r>
            <w:r>
              <w:rPr>
                <w:rFonts w:hint="eastAsia" w:ascii="Times New Roman" w:hAnsi="Times New Roman" w:cs="Times New Roman"/>
                <w:color w:val="000000" w:themeColor="text1"/>
                <w:sz w:val="24"/>
                <w:highlight w:val="none"/>
                <w:lang w:val="en-US" w:eastAsia="zh-CN"/>
                <w14:textFill>
                  <w14:solidFill>
                    <w14:schemeClr w14:val="tx1"/>
                  </w14:solidFill>
                </w14:textFill>
              </w:rPr>
              <w:t>10</w:t>
            </w:r>
            <w:r>
              <w:rPr>
                <w:rFonts w:hint="default" w:ascii="Times New Roman" w:hAnsi="Times New Roman" w:cs="Times New Roman"/>
                <w:color w:val="000000" w:themeColor="text1"/>
                <w:sz w:val="24"/>
                <w:highlight w:val="none"/>
                <w:lang w:val="en-US" w:eastAsia="zh-CN"/>
                <w14:textFill>
                  <w14:solidFill>
                    <w14:schemeClr w14:val="tx1"/>
                  </w14:solidFill>
                </w14:textFill>
              </w:rPr>
              <w:t>万方（每方混凝土约2.</w:t>
            </w:r>
            <w:r>
              <w:rPr>
                <w:rFonts w:hint="eastAsia" w:cs="Times New Roman"/>
                <w:color w:val="000000" w:themeColor="text1"/>
                <w:sz w:val="24"/>
                <w:highlight w:val="none"/>
                <w:lang w:val="en-US" w:eastAsia="zh-CN"/>
                <w14:textFill>
                  <w14:solidFill>
                    <w14:schemeClr w14:val="tx1"/>
                  </w14:solidFill>
                </w14:textFill>
              </w:rPr>
              <w:t>4</w:t>
            </w:r>
            <w:r>
              <w:rPr>
                <w:rFonts w:hint="default" w:ascii="Times New Roman" w:hAnsi="Times New Roman" w:cs="Times New Roman"/>
                <w:color w:val="000000" w:themeColor="text1"/>
                <w:sz w:val="24"/>
                <w:highlight w:val="none"/>
                <w:lang w:val="en-US" w:eastAsia="zh-CN"/>
                <w14:textFill>
                  <w14:solidFill>
                    <w14:schemeClr w14:val="tx1"/>
                  </w14:solidFill>
                </w14:textFill>
              </w:rPr>
              <w:t>t，共折合混凝土</w:t>
            </w:r>
            <w:r>
              <w:rPr>
                <w:rFonts w:hint="eastAsia" w:cs="Times New Roman"/>
                <w:color w:val="000000" w:themeColor="text1"/>
                <w:sz w:val="24"/>
                <w:highlight w:val="none"/>
                <w:lang w:val="en-US" w:eastAsia="zh-CN"/>
                <w14:textFill>
                  <w14:solidFill>
                    <w14:schemeClr w14:val="tx1"/>
                  </w14:solidFill>
                </w14:textFill>
              </w:rPr>
              <w:t>24</w:t>
            </w:r>
            <w:r>
              <w:rPr>
                <w:rFonts w:hint="default" w:ascii="Times New Roman" w:hAnsi="Times New Roman" w:cs="Times New Roman"/>
                <w:color w:val="000000" w:themeColor="text1"/>
                <w:sz w:val="24"/>
                <w:highlight w:val="none"/>
                <w:lang w:val="en-US" w:eastAsia="zh-CN"/>
                <w14:textFill>
                  <w14:solidFill>
                    <w14:schemeClr w14:val="tx1"/>
                  </w14:solidFill>
                </w14:textFill>
              </w:rPr>
              <w:t>万吨/年），则本项目</w:t>
            </w:r>
            <w:r>
              <w:rPr>
                <w:rFonts w:hint="eastAsia" w:cs="Times New Roman"/>
                <w:color w:val="000000" w:themeColor="text1"/>
                <w:sz w:val="24"/>
                <w:highlight w:val="none"/>
                <w:lang w:val="en-US" w:eastAsia="zh-CN"/>
                <w14:textFill>
                  <w14:solidFill>
                    <w14:schemeClr w14:val="tx1"/>
                  </w14:solidFill>
                </w14:textFill>
              </w:rPr>
              <w:t>拌和站</w:t>
            </w:r>
            <w:r>
              <w:rPr>
                <w:rFonts w:hint="default" w:ascii="Times New Roman" w:hAnsi="Times New Roman" w:cs="Times New Roman"/>
                <w:color w:val="000000" w:themeColor="text1"/>
                <w:sz w:val="24"/>
                <w:highlight w:val="none"/>
                <w:lang w:val="en-US" w:eastAsia="zh-CN"/>
                <w14:textFill>
                  <w14:solidFill>
                    <w14:schemeClr w14:val="tx1"/>
                  </w14:solidFill>
                </w14:textFill>
              </w:rPr>
              <w:t>搅拌粉尘产生量约为</w:t>
            </w:r>
            <w:r>
              <w:rPr>
                <w:rFonts w:hint="eastAsia" w:cs="Times New Roman"/>
                <w:color w:val="000000" w:themeColor="text1"/>
                <w:sz w:val="24"/>
                <w:highlight w:val="none"/>
                <w:lang w:val="en-US" w:eastAsia="zh-CN"/>
                <w14:textFill>
                  <w14:solidFill>
                    <w14:schemeClr w14:val="tx1"/>
                  </w14:solidFill>
                </w14:textFill>
              </w:rPr>
              <w:t>31.2</w:t>
            </w:r>
            <w:r>
              <w:rPr>
                <w:rFonts w:hint="default" w:ascii="Times New Roman" w:hAnsi="Times New Roman" w:cs="Times New Roman"/>
                <w:color w:val="000000" w:themeColor="text1"/>
                <w:sz w:val="24"/>
                <w:highlight w:val="none"/>
                <w:lang w:val="en-US" w:eastAsia="zh-CN"/>
                <w14:textFill>
                  <w14:solidFill>
                    <w14:schemeClr w14:val="tx1"/>
                  </w14:solidFill>
                </w14:textFill>
              </w:rPr>
              <w:t>t/a</w:t>
            </w:r>
            <w:r>
              <w:rPr>
                <w:rFonts w:hint="eastAsia" w:cs="Times New Roman"/>
                <w:color w:val="000000" w:themeColor="text1"/>
                <w:sz w:val="24"/>
                <w:highlight w:val="none"/>
                <w:lang w:val="en-US" w:eastAsia="zh-CN"/>
                <w14:textFill>
                  <w14:solidFill>
                    <w14:schemeClr w14:val="tx1"/>
                  </w14:solidFill>
                </w14:textFill>
              </w:rPr>
              <w:t>，平均8.9143kg/h；</w:t>
            </w:r>
            <w:r>
              <w:rPr>
                <w:rFonts w:hint="default" w:ascii="Times New Roman" w:hAnsi="Times New Roman" w:cs="Times New Roman"/>
                <w:color w:val="000000" w:themeColor="text1"/>
                <w:sz w:val="24"/>
                <w:highlight w:val="none"/>
                <w:lang w:val="en-US" w:eastAsia="zh-CN"/>
                <w14:textFill>
                  <w14:solidFill>
                    <w14:schemeClr w14:val="tx1"/>
                  </w14:solidFill>
                </w14:textFill>
              </w:rPr>
              <w:t>本项目共生产</w:t>
            </w:r>
            <w:r>
              <w:rPr>
                <w:rFonts w:hint="eastAsia" w:ascii="Times New Roman" w:hAnsi="Times New Roman" w:cs="Times New Roman"/>
                <w:color w:val="000000" w:themeColor="text1"/>
                <w:sz w:val="24"/>
                <w:highlight w:val="none"/>
                <w:lang w:val="en-US" w:eastAsia="zh-CN"/>
                <w14:textFill>
                  <w14:solidFill>
                    <w14:schemeClr w14:val="tx1"/>
                  </w14:solidFill>
                </w14:textFill>
              </w:rPr>
              <w:t>水稳基层材料10.88</w:t>
            </w:r>
            <w:r>
              <w:rPr>
                <w:rFonts w:hint="default" w:ascii="Times New Roman" w:hAnsi="Times New Roman" w:cs="Times New Roman"/>
                <w:color w:val="000000" w:themeColor="text1"/>
                <w:sz w:val="24"/>
                <w:highlight w:val="none"/>
                <w:lang w:val="en-US" w:eastAsia="zh-CN"/>
                <w14:textFill>
                  <w14:solidFill>
                    <w14:schemeClr w14:val="tx1"/>
                  </w14:solidFill>
                </w14:textFill>
              </w:rPr>
              <w:t>万方（每方</w:t>
            </w:r>
            <w:r>
              <w:rPr>
                <w:rFonts w:hint="eastAsia" w:ascii="Times New Roman" w:hAnsi="Times New Roman" w:cs="Times New Roman"/>
                <w:color w:val="000000" w:themeColor="text1"/>
                <w:sz w:val="24"/>
                <w:highlight w:val="none"/>
                <w:lang w:val="en-US" w:eastAsia="zh-CN"/>
                <w14:textFill>
                  <w14:solidFill>
                    <w14:schemeClr w14:val="tx1"/>
                  </w14:solidFill>
                </w14:textFill>
              </w:rPr>
              <w:t>水泥稳定碎石材料</w:t>
            </w:r>
            <w:r>
              <w:rPr>
                <w:rFonts w:hint="default" w:ascii="Times New Roman" w:hAnsi="Times New Roman" w:cs="Times New Roman"/>
                <w:color w:val="000000" w:themeColor="text1"/>
                <w:sz w:val="24"/>
                <w:highlight w:val="none"/>
                <w:lang w:val="en-US" w:eastAsia="zh-CN"/>
                <w14:textFill>
                  <w14:solidFill>
                    <w14:schemeClr w14:val="tx1"/>
                  </w14:solidFill>
                </w14:textFill>
              </w:rPr>
              <w:t>约</w:t>
            </w:r>
            <w:r>
              <w:rPr>
                <w:rFonts w:hint="eastAsia" w:ascii="Times New Roman" w:hAnsi="Times New Roman" w:cs="Times New Roman"/>
                <w:color w:val="000000" w:themeColor="text1"/>
                <w:sz w:val="24"/>
                <w:highlight w:val="none"/>
                <w:lang w:val="en-US" w:eastAsia="zh-CN"/>
                <w14:textFill>
                  <w14:solidFill>
                    <w14:schemeClr w14:val="tx1"/>
                  </w14:solidFill>
                </w14:textFill>
              </w:rPr>
              <w:t>1.6</w:t>
            </w:r>
            <w:r>
              <w:rPr>
                <w:rFonts w:hint="default" w:ascii="Times New Roman" w:hAnsi="Times New Roman" w:cs="Times New Roman"/>
                <w:color w:val="000000" w:themeColor="text1"/>
                <w:sz w:val="24"/>
                <w:highlight w:val="none"/>
                <w:lang w:val="en-US" w:eastAsia="zh-CN"/>
                <w14:textFill>
                  <w14:solidFill>
                    <w14:schemeClr w14:val="tx1"/>
                  </w14:solidFill>
                </w14:textFill>
              </w:rPr>
              <w:t>t，共折合</w:t>
            </w:r>
            <w:r>
              <w:rPr>
                <w:rFonts w:hint="eastAsia" w:ascii="Times New Roman" w:hAnsi="Times New Roman" w:cs="Times New Roman"/>
                <w:color w:val="000000" w:themeColor="text1"/>
                <w:sz w:val="24"/>
                <w:highlight w:val="none"/>
                <w:lang w:val="en-US" w:eastAsia="zh-CN"/>
                <w14:textFill>
                  <w14:solidFill>
                    <w14:schemeClr w14:val="tx1"/>
                  </w14:solidFill>
                </w14:textFill>
              </w:rPr>
              <w:t>水稳基层材料</w:t>
            </w:r>
            <w:r>
              <w:rPr>
                <w:rFonts w:hint="eastAsia" w:cs="Times New Roman"/>
                <w:color w:val="000000" w:themeColor="text1"/>
                <w:sz w:val="24"/>
                <w:highlight w:val="none"/>
                <w:lang w:val="en-US" w:eastAsia="zh-CN"/>
                <w14:textFill>
                  <w14:solidFill>
                    <w14:schemeClr w14:val="tx1"/>
                  </w14:solidFill>
                </w14:textFill>
              </w:rPr>
              <w:t>17.408</w:t>
            </w:r>
            <w:r>
              <w:rPr>
                <w:rFonts w:hint="default" w:ascii="Times New Roman" w:hAnsi="Times New Roman" w:cs="Times New Roman"/>
                <w:color w:val="000000" w:themeColor="text1"/>
                <w:sz w:val="24"/>
                <w:highlight w:val="none"/>
                <w:lang w:val="en-US" w:eastAsia="zh-CN"/>
                <w14:textFill>
                  <w14:solidFill>
                    <w14:schemeClr w14:val="tx1"/>
                  </w14:solidFill>
                </w14:textFill>
              </w:rPr>
              <w:t>万吨/年），则本项目</w:t>
            </w:r>
            <w:r>
              <w:rPr>
                <w:rFonts w:hint="eastAsia" w:cs="Times New Roman"/>
                <w:color w:val="000000" w:themeColor="text1"/>
                <w:sz w:val="24"/>
                <w:highlight w:val="none"/>
                <w:lang w:val="en-US" w:eastAsia="zh-CN"/>
                <w14:textFill>
                  <w14:solidFill>
                    <w14:schemeClr w14:val="tx1"/>
                  </w14:solidFill>
                </w14:textFill>
              </w:rPr>
              <w:t>水稳站</w:t>
            </w:r>
            <w:r>
              <w:rPr>
                <w:rFonts w:hint="default" w:ascii="Times New Roman" w:hAnsi="Times New Roman" w:cs="Times New Roman"/>
                <w:color w:val="000000" w:themeColor="text1"/>
                <w:sz w:val="24"/>
                <w:highlight w:val="none"/>
                <w:lang w:val="en-US" w:eastAsia="zh-CN"/>
                <w14:textFill>
                  <w14:solidFill>
                    <w14:schemeClr w14:val="tx1"/>
                  </w14:solidFill>
                </w14:textFill>
              </w:rPr>
              <w:t>搅拌粉尘产生量约为</w:t>
            </w:r>
            <w:r>
              <w:rPr>
                <w:rFonts w:hint="eastAsia" w:ascii="Times New Roman" w:hAnsi="Times New Roman" w:cs="Times New Roman"/>
                <w:color w:val="000000" w:themeColor="text1"/>
                <w:sz w:val="24"/>
                <w:highlight w:val="none"/>
                <w:lang w:val="en-US" w:eastAsia="zh-CN"/>
                <w14:textFill>
                  <w14:solidFill>
                    <w14:schemeClr w14:val="tx1"/>
                  </w14:solidFill>
                </w14:textFill>
              </w:rPr>
              <w:t>22.6304</w:t>
            </w:r>
            <w:r>
              <w:rPr>
                <w:rFonts w:hint="default" w:ascii="Times New Roman" w:hAnsi="Times New Roman" w:cs="Times New Roman"/>
                <w:color w:val="000000" w:themeColor="text1"/>
                <w:sz w:val="24"/>
                <w:highlight w:val="none"/>
                <w:lang w:val="en-US" w:eastAsia="zh-CN"/>
                <w14:textFill>
                  <w14:solidFill>
                    <w14:schemeClr w14:val="tx1"/>
                  </w14:solidFill>
                </w14:textFill>
              </w:rPr>
              <w:t>t/a</w:t>
            </w:r>
            <w:r>
              <w:rPr>
                <w:rFonts w:hint="eastAsia" w:ascii="Times New Roman" w:hAnsi="Times New Roman" w:cs="Times New Roman"/>
                <w:color w:val="000000" w:themeColor="text1"/>
                <w:sz w:val="24"/>
                <w:highlight w:val="none"/>
                <w:lang w:val="en-US"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平均6.4658kg/h</w:t>
            </w:r>
            <w:r>
              <w:rPr>
                <w:rFonts w:hint="eastAsia" w:ascii="Times New Roman" w:hAnsi="Times New Roman" w:cs="Times New Roman"/>
                <w:color w:val="000000" w:themeColor="text1"/>
                <w:sz w:val="24"/>
                <w:highlight w:val="none"/>
                <w:lang w:val="en-US" w:eastAsia="zh-CN"/>
                <w14:textFill>
                  <w14:solidFill>
                    <w14:schemeClr w14:val="tx1"/>
                  </w14:solidFill>
                </w14:textFill>
              </w:rPr>
              <w:t>。</w:t>
            </w:r>
          </w:p>
          <w:p w14:paraId="21141280">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w:t>
            </w:r>
            <w:r>
              <w:rPr>
                <w:bCs/>
                <w:color w:val="000000" w:themeColor="text1"/>
                <w:sz w:val="24"/>
                <w:highlight w:val="none"/>
                <w14:textFill>
                  <w14:solidFill>
                    <w14:schemeClr w14:val="tx1"/>
                  </w14:solidFill>
                </w14:textFill>
              </w:rPr>
              <w:t>处理措施及排放量</w:t>
            </w:r>
          </w:p>
          <w:p w14:paraId="560ADB49">
            <w:pPr>
              <w:pStyle w:val="10"/>
              <w:keepNext w:val="0"/>
              <w:keepLines w:val="0"/>
              <w:pageBreakBefore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本项目搅拌机</w:t>
            </w:r>
            <w:r>
              <w:rPr>
                <w:rFonts w:hint="eastAsia"/>
                <w:color w:val="000000" w:themeColor="text1"/>
                <w:sz w:val="24"/>
                <w:szCs w:val="24"/>
                <w:highlight w:val="none"/>
                <w:lang w:eastAsia="zh-CN"/>
                <w14:textFill>
                  <w14:solidFill>
                    <w14:schemeClr w14:val="tx1"/>
                  </w14:solidFill>
                </w14:textFill>
              </w:rPr>
              <w:t>均</w:t>
            </w:r>
            <w:r>
              <w:rPr>
                <w:rFonts w:hint="eastAsia"/>
                <w:color w:val="000000" w:themeColor="text1"/>
                <w:sz w:val="24"/>
                <w:szCs w:val="24"/>
                <w:highlight w:val="none"/>
                <w14:textFill>
                  <w14:solidFill>
                    <w14:schemeClr w14:val="tx1"/>
                  </w14:solidFill>
                </w14:textFill>
              </w:rPr>
              <w:t>为密闭搅拌机，</w:t>
            </w:r>
            <w:r>
              <w:rPr>
                <w:rFonts w:hint="default" w:ascii="Times New Roman" w:hAnsi="Times New Roman" w:cs="Times New Roman"/>
                <w:color w:val="000000" w:themeColor="text1"/>
                <w:sz w:val="24"/>
                <w:highlight w:val="none"/>
                <w:lang w:val="en-US" w:eastAsia="zh-CN"/>
                <w14:textFill>
                  <w14:solidFill>
                    <w14:schemeClr w14:val="tx1"/>
                  </w14:solidFill>
                </w14:textFill>
              </w:rPr>
              <w:t>拌合楼均采用彩钢棚全封闭形式，</w:t>
            </w:r>
            <w:r>
              <w:rPr>
                <w:rFonts w:hint="default" w:ascii="Times New Roman" w:hAnsi="Times New Roman" w:cs="Times New Roman"/>
                <w:color w:val="000000" w:themeColor="text1"/>
                <w:sz w:val="24"/>
                <w:szCs w:val="22"/>
                <w:highlight w:val="none"/>
                <w14:textFill>
                  <w14:solidFill>
                    <w14:schemeClr w14:val="tx1"/>
                  </w14:solidFill>
                </w14:textFill>
              </w:rPr>
              <w:t>顶部设置有喷雾除尘装置</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搅拌系统配备一台布袋除尘器，粉尘经净化处理后以无组织方式排放。根据建设单位提供资料，除尘器在加强密封（本项目生产过程均为密闭操</w:t>
            </w:r>
            <w:r>
              <w:rPr>
                <w:color w:val="000000" w:themeColor="text1"/>
                <w:sz w:val="24"/>
                <w:szCs w:val="24"/>
                <w:highlight w:val="none"/>
                <w14:textFill>
                  <w14:solidFill>
                    <w14:schemeClr w14:val="tx1"/>
                  </w14:solidFill>
                </w14:textFill>
              </w:rPr>
              <w:t>作）的情况下集气效率可达</w:t>
            </w:r>
            <w:r>
              <w:rPr>
                <w:rFonts w:hint="eastAsia"/>
                <w:color w:val="000000" w:themeColor="text1"/>
                <w:sz w:val="24"/>
                <w:szCs w:val="24"/>
                <w:highlight w:val="none"/>
                <w:lang w:val="en-US" w:eastAsia="zh-CN"/>
                <w14:textFill>
                  <w14:solidFill>
                    <w14:schemeClr w14:val="tx1"/>
                  </w14:solidFill>
                </w14:textFill>
              </w:rPr>
              <w:t>99</w:t>
            </w:r>
            <w:r>
              <w:rPr>
                <w:color w:val="000000" w:themeColor="text1"/>
                <w:sz w:val="24"/>
                <w:szCs w:val="24"/>
                <w:highlight w:val="none"/>
                <w14:textFill>
                  <w14:solidFill>
                    <w14:schemeClr w14:val="tx1"/>
                  </w14:solidFill>
                </w14:textFill>
              </w:rPr>
              <w:t>%，除尘效率设计为</w:t>
            </w:r>
            <w:r>
              <w:rPr>
                <w:rFonts w:hint="eastAsia"/>
                <w:color w:val="000000" w:themeColor="text1"/>
                <w:sz w:val="24"/>
                <w:szCs w:val="24"/>
                <w:highlight w:val="none"/>
                <w14:textFill>
                  <w14:solidFill>
                    <w14:schemeClr w14:val="tx1"/>
                  </w14:solidFill>
                </w14:textFill>
              </w:rPr>
              <w:t>9</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%；同时，在</w:t>
            </w:r>
            <w:r>
              <w:rPr>
                <w:rFonts w:hint="eastAsia"/>
                <w:color w:val="000000" w:themeColor="text1"/>
                <w:sz w:val="24"/>
                <w:szCs w:val="24"/>
                <w:highlight w:val="none"/>
                <w:lang w:eastAsia="zh-CN"/>
                <w14:textFill>
                  <w14:solidFill>
                    <w14:schemeClr w14:val="tx1"/>
                  </w14:solidFill>
                </w14:textFill>
              </w:rPr>
              <w:t>搅拌楼</w:t>
            </w:r>
            <w:r>
              <w:rPr>
                <w:rFonts w:hint="eastAsia"/>
                <w:color w:val="000000" w:themeColor="text1"/>
                <w:sz w:val="24"/>
                <w:szCs w:val="24"/>
                <w:highlight w:val="none"/>
                <w14:textFill>
                  <w14:solidFill>
                    <w14:schemeClr w14:val="tx1"/>
                  </w14:solidFill>
                </w14:textFill>
              </w:rPr>
              <w:t>顶部安装喷淋装置洒水降尘，粉尘去除率可达</w:t>
            </w:r>
            <w:r>
              <w:rPr>
                <w:rFonts w:hint="eastAsia"/>
                <w:color w:val="000000" w:themeColor="text1"/>
                <w:sz w:val="24"/>
                <w:szCs w:val="24"/>
                <w:highlight w:val="none"/>
                <w:lang w:val="en-US" w:eastAsia="zh-CN"/>
                <w14:textFill>
                  <w14:solidFill>
                    <w14:schemeClr w14:val="tx1"/>
                  </w14:solidFill>
                </w14:textFill>
              </w:rPr>
              <w:t>70</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w:t>
            </w:r>
            <w:r>
              <w:rPr>
                <w:color w:val="000000" w:themeColor="text1"/>
                <w:sz w:val="24"/>
                <w:szCs w:val="24"/>
                <w:highlight w:val="none"/>
                <w14:textFill>
                  <w14:solidFill>
                    <w14:schemeClr w14:val="tx1"/>
                  </w14:solidFill>
                </w14:textFill>
              </w:rPr>
              <w:t>则</w:t>
            </w:r>
            <w:r>
              <w:rPr>
                <w:rFonts w:hint="eastAsia"/>
                <w:color w:val="000000" w:themeColor="text1"/>
                <w:sz w:val="24"/>
                <w:szCs w:val="24"/>
                <w:highlight w:val="none"/>
                <w:lang w:eastAsia="zh-CN"/>
                <w14:textFill>
                  <w14:solidFill>
                    <w14:schemeClr w14:val="tx1"/>
                  </w14:solidFill>
                </w14:textFill>
              </w:rPr>
              <w:t>拌和站搅拌</w:t>
            </w:r>
            <w:r>
              <w:rPr>
                <w:color w:val="000000" w:themeColor="text1"/>
                <w:sz w:val="24"/>
                <w:szCs w:val="24"/>
                <w:highlight w:val="none"/>
                <w14:textFill>
                  <w14:solidFill>
                    <w14:schemeClr w14:val="tx1"/>
                  </w14:solidFill>
                </w14:textFill>
              </w:rPr>
              <w:t>粉尘排放量为</w:t>
            </w:r>
            <w:r>
              <w:rPr>
                <w:rFonts w:hint="eastAsia"/>
                <w:color w:val="000000" w:themeColor="text1"/>
                <w:sz w:val="24"/>
                <w:szCs w:val="24"/>
                <w:highlight w:val="none"/>
                <w:lang w:val="en-US" w:eastAsia="zh-CN"/>
                <w14:textFill>
                  <w14:solidFill>
                    <w14:schemeClr w14:val="tx1"/>
                  </w14:solidFill>
                </w14:textFill>
              </w:rPr>
              <w:t>0.0936</w:t>
            </w:r>
            <w:r>
              <w:rPr>
                <w:color w:val="000000" w:themeColor="text1"/>
                <w:sz w:val="24"/>
                <w:szCs w:val="24"/>
                <w:highlight w:val="none"/>
                <w14:textFill>
                  <w14:solidFill>
                    <w14:schemeClr w14:val="tx1"/>
                  </w14:solidFill>
                </w14:textFill>
              </w:rPr>
              <w:t>t</w:t>
            </w:r>
            <w:r>
              <w:rPr>
                <w:rFonts w:hint="eastAsia"/>
                <w:color w:val="000000" w:themeColor="text1"/>
                <w:sz w:val="24"/>
                <w:szCs w:val="24"/>
                <w:highlight w:val="none"/>
                <w14:textFill>
                  <w14:solidFill>
                    <w14:schemeClr w14:val="tx1"/>
                  </w14:solidFill>
                </w14:textFill>
              </w:rPr>
              <w:t>/a，排放速率为</w:t>
            </w:r>
            <w:r>
              <w:rPr>
                <w:rFonts w:hint="eastAsia"/>
                <w:color w:val="000000" w:themeColor="text1"/>
                <w:sz w:val="24"/>
                <w:szCs w:val="24"/>
                <w:highlight w:val="none"/>
                <w:lang w:val="en-US" w:eastAsia="zh-CN"/>
                <w14:textFill>
                  <w14:solidFill>
                    <w14:schemeClr w14:val="tx1"/>
                  </w14:solidFill>
                </w14:textFill>
              </w:rPr>
              <w:t>0.0267</w:t>
            </w:r>
            <w:r>
              <w:rPr>
                <w:rFonts w:hint="eastAsia"/>
                <w:color w:val="000000" w:themeColor="text1"/>
                <w:sz w:val="24"/>
                <w:szCs w:val="24"/>
                <w:highlight w:val="none"/>
                <w14:textFill>
                  <w14:solidFill>
                    <w14:schemeClr w14:val="tx1"/>
                  </w14:solidFill>
                </w14:textFill>
              </w:rPr>
              <w:t>kg/h</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水稳站搅拌</w:t>
            </w:r>
            <w:r>
              <w:rPr>
                <w:color w:val="000000" w:themeColor="text1"/>
                <w:sz w:val="24"/>
                <w:szCs w:val="24"/>
                <w:highlight w:val="none"/>
                <w14:textFill>
                  <w14:solidFill>
                    <w14:schemeClr w14:val="tx1"/>
                  </w14:solidFill>
                </w14:textFill>
              </w:rPr>
              <w:t>粉尘排放量为</w:t>
            </w:r>
            <w:r>
              <w:rPr>
                <w:rFonts w:hint="eastAsia"/>
                <w:color w:val="000000" w:themeColor="text1"/>
                <w:sz w:val="24"/>
                <w:szCs w:val="24"/>
                <w:highlight w:val="none"/>
                <w:lang w:val="en-US" w:eastAsia="zh-CN"/>
                <w14:textFill>
                  <w14:solidFill>
                    <w14:schemeClr w14:val="tx1"/>
                  </w14:solidFill>
                </w14:textFill>
              </w:rPr>
              <w:t>0.0679</w:t>
            </w:r>
            <w:r>
              <w:rPr>
                <w:color w:val="000000" w:themeColor="text1"/>
                <w:sz w:val="24"/>
                <w:szCs w:val="24"/>
                <w:highlight w:val="none"/>
                <w14:textFill>
                  <w14:solidFill>
                    <w14:schemeClr w14:val="tx1"/>
                  </w14:solidFill>
                </w14:textFill>
              </w:rPr>
              <w:t>t</w:t>
            </w:r>
            <w:r>
              <w:rPr>
                <w:rFonts w:hint="eastAsia"/>
                <w:color w:val="000000" w:themeColor="text1"/>
                <w:sz w:val="24"/>
                <w:szCs w:val="24"/>
                <w:highlight w:val="none"/>
                <w14:textFill>
                  <w14:solidFill>
                    <w14:schemeClr w14:val="tx1"/>
                  </w14:solidFill>
                </w14:textFill>
              </w:rPr>
              <w:t>/a，排放速率为</w:t>
            </w:r>
            <w:r>
              <w:rPr>
                <w:rFonts w:hint="eastAsia"/>
                <w:color w:val="000000" w:themeColor="text1"/>
                <w:sz w:val="24"/>
                <w:szCs w:val="24"/>
                <w:highlight w:val="none"/>
                <w:lang w:val="en-US" w:eastAsia="zh-CN"/>
                <w14:textFill>
                  <w14:solidFill>
                    <w14:schemeClr w14:val="tx1"/>
                  </w14:solidFill>
                </w14:textFill>
              </w:rPr>
              <w:t>0.0194</w:t>
            </w:r>
            <w:r>
              <w:rPr>
                <w:rFonts w:hint="eastAsia"/>
                <w:color w:val="000000" w:themeColor="text1"/>
                <w:sz w:val="24"/>
                <w:szCs w:val="24"/>
                <w:highlight w:val="none"/>
                <w14:textFill>
                  <w14:solidFill>
                    <w14:schemeClr w14:val="tx1"/>
                  </w14:solidFill>
                </w14:textFill>
              </w:rPr>
              <w:t>kg/h</w:t>
            </w:r>
            <w:r>
              <w:rPr>
                <w:color w:val="000000" w:themeColor="text1"/>
                <w:sz w:val="24"/>
                <w:szCs w:val="24"/>
                <w:highlight w:val="none"/>
                <w14:textFill>
                  <w14:solidFill>
                    <w14:schemeClr w14:val="tx1"/>
                  </w14:solidFill>
                </w14:textFill>
              </w:rPr>
              <w:t>。</w:t>
            </w:r>
          </w:p>
          <w:p w14:paraId="196437C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6</w:t>
            </w:r>
            <w:r>
              <w:rPr>
                <w:rFonts w:hint="eastAsia"/>
                <w:b/>
                <w:bCs/>
                <w:color w:val="000000" w:themeColor="text1"/>
                <w:sz w:val="24"/>
                <w:szCs w:val="24"/>
                <w:highlight w:val="none"/>
                <w14:textFill>
                  <w14:solidFill>
                    <w14:schemeClr w14:val="tx1"/>
                  </w14:solidFill>
                </w14:textFill>
              </w:rPr>
              <w:t>、焊接烟尘</w:t>
            </w:r>
          </w:p>
          <w:p w14:paraId="6EF5DF6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（1）产排污情况</w:t>
            </w:r>
          </w:p>
          <w:p w14:paraId="2CD5DD9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本项目焊接钢筋</w:t>
            </w:r>
            <w:r>
              <w:rPr>
                <w:rFonts w:hint="eastAsia"/>
                <w:color w:val="000000" w:themeColor="text1"/>
                <w:sz w:val="24"/>
                <w:szCs w:val="24"/>
                <w:highlight w:val="none"/>
                <w:lang w:eastAsia="zh-CN"/>
                <w14:textFill>
                  <w14:solidFill>
                    <w14:schemeClr w14:val="tx1"/>
                  </w14:solidFill>
                </w14:textFill>
              </w:rPr>
              <w:t>过程中会产生焊接烟气。</w:t>
            </w:r>
            <w:r>
              <w:rPr>
                <w:rFonts w:hint="eastAsia"/>
                <w:color w:val="000000" w:themeColor="text1"/>
                <w:sz w:val="24"/>
                <w:szCs w:val="24"/>
                <w:highlight w:val="none"/>
                <w14:textFill>
                  <w14:solidFill>
                    <w14:schemeClr w14:val="tx1"/>
                  </w14:solidFill>
                </w14:textFill>
              </w:rPr>
              <w:t>焊接烟气成分复杂，主要由金属及非金属在过热条件下产生的蒸发气体经氧化和冷凝而形成，其化学成分取决于焊接材料（焊丝、焊条、焊剂等）和被焊接材料的成分及其蒸发的难易，主要有Fe</w:t>
            </w:r>
            <w:r>
              <w:rPr>
                <w:rFonts w:hint="eastAsia"/>
                <w:color w:val="000000" w:themeColor="text1"/>
                <w:sz w:val="24"/>
                <w:szCs w:val="24"/>
                <w:highlight w:val="none"/>
                <w:vertAlign w:val="sub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O</w:t>
            </w:r>
            <w:r>
              <w:rPr>
                <w:rFonts w:hint="eastAsia"/>
                <w:color w:val="000000" w:themeColor="text1"/>
                <w:sz w:val="24"/>
                <w:szCs w:val="24"/>
                <w:highlight w:val="none"/>
                <w:vertAlign w:val="sub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、SiO</w:t>
            </w:r>
            <w:r>
              <w:rPr>
                <w:rFonts w:hint="eastAsia"/>
                <w:color w:val="000000" w:themeColor="text1"/>
                <w:sz w:val="24"/>
                <w:szCs w:val="24"/>
                <w:highlight w:val="none"/>
                <w:vertAlign w:val="sub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、MnO等一些金属氧化物。此外还有少量有害气体产生，主要是因高位电弧辐射电离空气中的氮、氧、二氧化碳等产生的NO</w:t>
            </w:r>
            <w:r>
              <w:rPr>
                <w:rFonts w:hint="eastAsia"/>
                <w:color w:val="000000" w:themeColor="text1"/>
                <w:sz w:val="24"/>
                <w:szCs w:val="24"/>
                <w:highlight w:val="none"/>
                <w:vertAlign w:val="subscript"/>
                <w14:textFill>
                  <w14:solidFill>
                    <w14:schemeClr w14:val="tx1"/>
                  </w14:solidFill>
                </w14:textFill>
              </w:rPr>
              <w:t>X</w:t>
            </w:r>
            <w:r>
              <w:rPr>
                <w:rFonts w:hint="eastAsia"/>
                <w:color w:val="000000" w:themeColor="text1"/>
                <w:sz w:val="24"/>
                <w:szCs w:val="24"/>
                <w:highlight w:val="none"/>
                <w14:textFill>
                  <w14:solidFill>
                    <w14:schemeClr w14:val="tx1"/>
                  </w14:solidFill>
                </w14:textFill>
              </w:rPr>
              <w:t>、CO等。</w:t>
            </w:r>
          </w:p>
          <w:p w14:paraId="3BE46F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根据《第二次全国污染源普查产排污核算系数手册》--C33—C37行业核算环节 09焊接核算环节产污系数，焊接烟尘产生情况如下：</w:t>
            </w:r>
          </w:p>
          <w:p w14:paraId="46F3E671">
            <w:pPr>
              <w:keepNext w:val="0"/>
              <w:keepLines w:val="0"/>
              <w:pageBreakBefore w:val="0"/>
              <w:widowControl w:val="0"/>
              <w:kinsoku/>
              <w:wordWrap/>
              <w:overflowPunct/>
              <w:topLinePunct w:val="0"/>
              <w:autoSpaceDE/>
              <w:autoSpaceDN/>
              <w:bidi w:val="0"/>
              <w:adjustRightInd w:val="0"/>
              <w:snapToGrid w:val="0"/>
              <w:jc w:val="center"/>
              <w:textAlignment w:val="auto"/>
              <w:rPr>
                <w:rFonts w:hint="default" w:ascii="Times New Roman" w:hAnsi="Times New Roman" w:eastAsia="宋体" w:cs="Times New Roman"/>
                <w:b/>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szCs w:val="21"/>
                <w:highlight w:val="none"/>
                <w14:textFill>
                  <w14:solidFill>
                    <w14:schemeClr w14:val="tx1"/>
                  </w14:solidFill>
                </w14:textFill>
              </w:rPr>
              <w:t>表</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4</w:t>
            </w:r>
            <w:r>
              <w:rPr>
                <w:rFonts w:hint="default" w:ascii="Times New Roman" w:hAnsi="Times New Roman" w:eastAsia="宋体" w:cs="Times New Roman"/>
                <w:b/>
                <w:color w:val="000000" w:themeColor="text1"/>
                <w:szCs w:val="21"/>
                <w:highlight w:val="none"/>
                <w14:textFill>
                  <w14:solidFill>
                    <w14:schemeClr w14:val="tx1"/>
                  </w14:solidFill>
                </w14:textFill>
              </w:rPr>
              <w:t>-</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5</w:t>
            </w:r>
            <w:r>
              <w:rPr>
                <w:rFonts w:hint="default" w:ascii="Times New Roman" w:hAnsi="Times New Roman" w:eastAsia="宋体" w:cs="Times New Roman"/>
                <w:b/>
                <w:color w:val="000000" w:themeColor="text1"/>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szCs w:val="21"/>
                <w:highlight w:val="none"/>
                <w14:textFill>
                  <w14:solidFill>
                    <w14:schemeClr w14:val="tx1"/>
                  </w14:solidFill>
                </w14:textFill>
              </w:rPr>
              <w:t>本项目铜质灯座焊接工序产污情况</w:t>
            </w:r>
          </w:p>
          <w:tbl>
            <w:tblPr>
              <w:tblStyle w:val="20"/>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574"/>
              <w:gridCol w:w="1093"/>
              <w:gridCol w:w="1071"/>
              <w:gridCol w:w="1175"/>
              <w:gridCol w:w="1175"/>
              <w:gridCol w:w="1033"/>
              <w:gridCol w:w="1846"/>
            </w:tblGrid>
            <w:tr w14:paraId="6786AF5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44" w:hRule="atLeast"/>
                <w:jc w:val="center"/>
              </w:trPr>
              <w:tc>
                <w:tcPr>
                  <w:tcW w:w="574" w:type="dxa"/>
                  <w:noWrap w:val="0"/>
                  <w:tcMar>
                    <w:top w:w="0" w:type="dxa"/>
                    <w:left w:w="57" w:type="dxa"/>
                    <w:bottom w:w="0" w:type="dxa"/>
                    <w:right w:w="57" w:type="dxa"/>
                  </w:tcMar>
                  <w:vAlign w:val="center"/>
                </w:tcPr>
                <w:p w14:paraId="19907CD0">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核算环节</w:t>
                  </w:r>
                </w:p>
              </w:tc>
              <w:tc>
                <w:tcPr>
                  <w:tcW w:w="1093" w:type="dxa"/>
                  <w:noWrap w:val="0"/>
                  <w:tcMar>
                    <w:top w:w="0" w:type="dxa"/>
                    <w:left w:w="57" w:type="dxa"/>
                    <w:bottom w:w="0" w:type="dxa"/>
                    <w:right w:w="57" w:type="dxa"/>
                  </w:tcMar>
                  <w:vAlign w:val="center"/>
                </w:tcPr>
                <w:p w14:paraId="0B274362">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原料名称</w:t>
                  </w:r>
                </w:p>
              </w:tc>
              <w:tc>
                <w:tcPr>
                  <w:tcW w:w="1071" w:type="dxa"/>
                  <w:noWrap w:val="0"/>
                  <w:tcMar>
                    <w:top w:w="0" w:type="dxa"/>
                    <w:left w:w="57" w:type="dxa"/>
                    <w:bottom w:w="0" w:type="dxa"/>
                    <w:right w:w="57" w:type="dxa"/>
                  </w:tcMar>
                  <w:vAlign w:val="center"/>
                </w:tcPr>
                <w:p w14:paraId="4DB3EA3E">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污染物</w:t>
                  </w:r>
                </w:p>
                <w:p w14:paraId="34B56DBC">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指标类别</w:t>
                  </w:r>
                </w:p>
              </w:tc>
              <w:tc>
                <w:tcPr>
                  <w:tcW w:w="1175" w:type="dxa"/>
                  <w:noWrap w:val="0"/>
                  <w:tcMar>
                    <w:top w:w="0" w:type="dxa"/>
                    <w:left w:w="57" w:type="dxa"/>
                    <w:bottom w:w="0" w:type="dxa"/>
                    <w:right w:w="57" w:type="dxa"/>
                  </w:tcMar>
                  <w:vAlign w:val="center"/>
                </w:tcPr>
                <w:p w14:paraId="774F0EF0">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eastAsia" w:ascii="Times New Roman" w:hAnsi="Times New Roman" w:eastAsia="宋体" w:cs="Times New Roman"/>
                      <w:b/>
                      <w:bCs w:val="0"/>
                      <w:color w:val="000000" w:themeColor="text1"/>
                      <w:szCs w:val="21"/>
                      <w:highlight w:val="none"/>
                      <w:lang w:eastAsia="zh-CN"/>
                      <w14:textFill>
                        <w14:solidFill>
                          <w14:schemeClr w14:val="tx1"/>
                        </w14:solidFill>
                      </w14:textFill>
                    </w:rPr>
                    <w:t>单位</w:t>
                  </w:r>
                </w:p>
              </w:tc>
              <w:tc>
                <w:tcPr>
                  <w:tcW w:w="1175" w:type="dxa"/>
                  <w:noWrap w:val="0"/>
                  <w:tcMar>
                    <w:top w:w="0" w:type="dxa"/>
                    <w:left w:w="57" w:type="dxa"/>
                    <w:bottom w:w="0" w:type="dxa"/>
                    <w:right w:w="57" w:type="dxa"/>
                  </w:tcMar>
                  <w:vAlign w:val="center"/>
                </w:tcPr>
                <w:p w14:paraId="2B7EADA2">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产污系数</w:t>
                  </w:r>
                </w:p>
              </w:tc>
              <w:tc>
                <w:tcPr>
                  <w:tcW w:w="1033" w:type="dxa"/>
                  <w:noWrap w:val="0"/>
                  <w:tcMar>
                    <w:top w:w="0" w:type="dxa"/>
                    <w:left w:w="57" w:type="dxa"/>
                    <w:bottom w:w="0" w:type="dxa"/>
                    <w:right w:w="57" w:type="dxa"/>
                  </w:tcMar>
                  <w:vAlign w:val="center"/>
                </w:tcPr>
                <w:p w14:paraId="7B1F4077">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color w:val="000000" w:themeColor="text1"/>
                      <w:szCs w:val="21"/>
                      <w:highlight w:val="none"/>
                      <w14:textFill>
                        <w14:solidFill>
                          <w14:schemeClr w14:val="tx1"/>
                        </w14:solidFill>
                      </w14:textFill>
                    </w:rPr>
                    <w:t>本项目原料用量（t）</w:t>
                  </w:r>
                </w:p>
              </w:tc>
              <w:tc>
                <w:tcPr>
                  <w:tcW w:w="1846" w:type="dxa"/>
                  <w:noWrap w:val="0"/>
                  <w:tcMar>
                    <w:top w:w="0" w:type="dxa"/>
                    <w:left w:w="57" w:type="dxa"/>
                    <w:bottom w:w="0" w:type="dxa"/>
                    <w:right w:w="57" w:type="dxa"/>
                  </w:tcMar>
                  <w:vAlign w:val="center"/>
                </w:tcPr>
                <w:p w14:paraId="2CE9FE10">
                  <w:pPr>
                    <w:adjustRightInd w:val="0"/>
                    <w:snapToGrid w:val="0"/>
                    <w:jc w:val="center"/>
                    <w:rPr>
                      <w:rFonts w:hint="default" w:ascii="Times New Roman" w:hAnsi="Times New Roman" w:eastAsia="宋体" w:cs="Times New Roman"/>
                      <w:b/>
                      <w:bCs/>
                      <w:color w:val="000000" w:themeColor="text1"/>
                      <w:szCs w:val="21"/>
                      <w:highlight w:val="none"/>
                      <w14:textFill>
                        <w14:solidFill>
                          <w14:schemeClr w14:val="tx1"/>
                        </w14:solidFill>
                      </w14:textFill>
                    </w:rPr>
                  </w:pPr>
                  <w:r>
                    <w:rPr>
                      <w:rFonts w:hint="default" w:ascii="Times New Roman" w:hAnsi="Times New Roman" w:eastAsia="宋体" w:cs="Times New Roman"/>
                      <w:b/>
                      <w:bCs w:val="0"/>
                      <w:color w:val="000000" w:themeColor="text1"/>
                      <w:szCs w:val="21"/>
                      <w:highlight w:val="none"/>
                      <w14:textFill>
                        <w14:solidFill>
                          <w14:schemeClr w14:val="tx1"/>
                        </w14:solidFill>
                      </w14:textFill>
                    </w:rPr>
                    <w:t>污染物</w:t>
                  </w:r>
                  <w:r>
                    <w:rPr>
                      <w:rFonts w:hint="default" w:ascii="Times New Roman" w:hAnsi="Times New Roman" w:eastAsia="宋体" w:cs="Times New Roman"/>
                      <w:b/>
                      <w:bCs/>
                      <w:color w:val="000000" w:themeColor="text1"/>
                      <w:szCs w:val="21"/>
                      <w:highlight w:val="none"/>
                      <w14:textFill>
                        <w14:solidFill>
                          <w14:schemeClr w14:val="tx1"/>
                        </w14:solidFill>
                      </w14:textFill>
                    </w:rPr>
                    <w:t>产生量</w:t>
                  </w:r>
                  <w:r>
                    <w:rPr>
                      <w:rFonts w:hint="default" w:ascii="Times New Roman" w:hAnsi="Times New Roman" w:eastAsia="宋体" w:cs="Times New Roman"/>
                      <w:b/>
                      <w:bCs w:val="0"/>
                      <w:color w:val="000000" w:themeColor="text1"/>
                      <w:szCs w:val="21"/>
                      <w:highlight w:val="none"/>
                      <w14:textFill>
                        <w14:solidFill>
                          <w14:schemeClr w14:val="tx1"/>
                        </w14:solidFill>
                      </w14:textFill>
                    </w:rPr>
                    <w:t>(kg)</w:t>
                  </w:r>
                </w:p>
              </w:tc>
            </w:tr>
            <w:tr w14:paraId="678167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03" w:hRule="atLeast"/>
                <w:jc w:val="center"/>
              </w:trPr>
              <w:tc>
                <w:tcPr>
                  <w:tcW w:w="574" w:type="dxa"/>
                  <w:noWrap w:val="0"/>
                  <w:tcMar>
                    <w:top w:w="0" w:type="dxa"/>
                    <w:left w:w="57" w:type="dxa"/>
                    <w:bottom w:w="0" w:type="dxa"/>
                    <w:right w:w="57" w:type="dxa"/>
                  </w:tcMar>
                  <w:vAlign w:val="center"/>
                </w:tcPr>
                <w:p w14:paraId="77190A6C">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焊接</w:t>
                  </w:r>
                </w:p>
              </w:tc>
              <w:tc>
                <w:tcPr>
                  <w:tcW w:w="1093" w:type="dxa"/>
                  <w:noWrap w:val="0"/>
                  <w:tcMar>
                    <w:top w:w="0" w:type="dxa"/>
                    <w:left w:w="57" w:type="dxa"/>
                    <w:bottom w:w="0" w:type="dxa"/>
                    <w:right w:w="57" w:type="dxa"/>
                  </w:tcMar>
                  <w:vAlign w:val="center"/>
                </w:tcPr>
                <w:p w14:paraId="2F968571">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手工电弧焊（铜和铜合金焊条）</w:t>
                  </w:r>
                </w:p>
              </w:tc>
              <w:tc>
                <w:tcPr>
                  <w:tcW w:w="1071" w:type="dxa"/>
                  <w:noWrap w:val="0"/>
                  <w:tcMar>
                    <w:top w:w="0" w:type="dxa"/>
                    <w:left w:w="57" w:type="dxa"/>
                    <w:bottom w:w="0" w:type="dxa"/>
                    <w:right w:w="57" w:type="dxa"/>
                  </w:tcMar>
                  <w:vAlign w:val="center"/>
                </w:tcPr>
                <w:p w14:paraId="1F8C55C5">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颗粒物</w:t>
                  </w:r>
                </w:p>
              </w:tc>
              <w:tc>
                <w:tcPr>
                  <w:tcW w:w="1175" w:type="dxa"/>
                  <w:noWrap w:val="0"/>
                  <w:tcMar>
                    <w:top w:w="0" w:type="dxa"/>
                    <w:left w:w="57" w:type="dxa"/>
                    <w:bottom w:w="0" w:type="dxa"/>
                    <w:right w:w="57" w:type="dxa"/>
                  </w:tcMar>
                  <w:vAlign w:val="center"/>
                </w:tcPr>
                <w:p w14:paraId="5A44041B">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 w:val="0"/>
                      <w:bCs/>
                      <w:color w:val="000000" w:themeColor="text1"/>
                      <w:szCs w:val="21"/>
                      <w:highlight w:val="none"/>
                      <w14:textFill>
                        <w14:solidFill>
                          <w14:schemeClr w14:val="tx1"/>
                        </w14:solidFill>
                      </w14:textFill>
                    </w:rPr>
                    <w:t>kg/t·原料</w:t>
                  </w:r>
                </w:p>
              </w:tc>
              <w:tc>
                <w:tcPr>
                  <w:tcW w:w="1175" w:type="dxa"/>
                  <w:noWrap w:val="0"/>
                  <w:tcMar>
                    <w:top w:w="0" w:type="dxa"/>
                    <w:left w:w="57" w:type="dxa"/>
                    <w:bottom w:w="0" w:type="dxa"/>
                    <w:right w:w="57" w:type="dxa"/>
                  </w:tcMar>
                  <w:vAlign w:val="center"/>
                </w:tcPr>
                <w:p w14:paraId="1C54CD94">
                  <w:pPr>
                    <w:adjustRightInd w:val="0"/>
                    <w:snapToGrid w:val="0"/>
                    <w:jc w:val="center"/>
                    <w:rPr>
                      <w:rFonts w:hint="default" w:ascii="Times New Roman" w:hAnsi="Times New Roman" w:eastAsia="宋体" w:cs="Times New Roman"/>
                      <w:bCs/>
                      <w:color w:val="000000" w:themeColor="text1"/>
                      <w:szCs w:val="21"/>
                      <w:highlight w:val="none"/>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20.2</w:t>
                  </w:r>
                </w:p>
              </w:tc>
              <w:tc>
                <w:tcPr>
                  <w:tcW w:w="1033" w:type="dxa"/>
                  <w:noWrap w:val="0"/>
                  <w:tcMar>
                    <w:top w:w="0" w:type="dxa"/>
                    <w:left w:w="57" w:type="dxa"/>
                    <w:bottom w:w="0" w:type="dxa"/>
                    <w:right w:w="57" w:type="dxa"/>
                  </w:tcMar>
                  <w:vAlign w:val="center"/>
                </w:tcPr>
                <w:p w14:paraId="1FB8B66E">
                  <w:pPr>
                    <w:adjustRightInd w:val="0"/>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6</w:t>
                  </w:r>
                </w:p>
              </w:tc>
              <w:tc>
                <w:tcPr>
                  <w:tcW w:w="1846" w:type="dxa"/>
                  <w:noWrap w:val="0"/>
                  <w:tcMar>
                    <w:top w:w="0" w:type="dxa"/>
                    <w:left w:w="57" w:type="dxa"/>
                    <w:bottom w:w="0" w:type="dxa"/>
                    <w:right w:w="57" w:type="dxa"/>
                  </w:tcMar>
                  <w:vAlign w:val="center"/>
                </w:tcPr>
                <w:p w14:paraId="10B1A20E">
                  <w:pPr>
                    <w:adjustRightInd w:val="0"/>
                    <w:snapToGrid w:val="0"/>
                    <w:jc w:val="cente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121.2</w:t>
                  </w:r>
                </w:p>
              </w:tc>
            </w:tr>
          </w:tbl>
          <w:p w14:paraId="2956E99D">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由上表可知，本项目焊接烟尘产生量为</w:t>
            </w:r>
            <w:r>
              <w:rPr>
                <w:rFonts w:hint="eastAsia"/>
                <w:color w:val="000000" w:themeColor="text1"/>
                <w:sz w:val="24"/>
                <w:szCs w:val="24"/>
                <w:highlight w:val="none"/>
                <w:lang w:val="en-US" w:eastAsia="zh-CN"/>
                <w14:textFill>
                  <w14:solidFill>
                    <w14:schemeClr w14:val="tx1"/>
                  </w14:solidFill>
                </w14:textFill>
              </w:rPr>
              <w:t>121.2kg/a，0.0346kg/h。</w:t>
            </w:r>
          </w:p>
          <w:p w14:paraId="30C1897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（2）治理措施</w:t>
            </w:r>
          </w:p>
          <w:p w14:paraId="79F9899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本项目拟采取钢筋加工</w:t>
            </w:r>
            <w:r>
              <w:rPr>
                <w:rFonts w:hint="default" w:ascii="Times New Roman" w:hAnsi="Times New Roman" w:eastAsia="宋体" w:cs="Times New Roman"/>
                <w:color w:val="000000" w:themeColor="text1"/>
                <w:sz w:val="24"/>
                <w:szCs w:val="24"/>
                <w:highlight w:val="none"/>
                <w:lang w:bidi="ar"/>
                <w14:textFill>
                  <w14:solidFill>
                    <w14:schemeClr w14:val="tx1"/>
                  </w14:solidFill>
                </w14:textFill>
              </w:rPr>
              <w:t>车间</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内设置固定焊接区域，</w:t>
            </w:r>
            <w:r>
              <w:rPr>
                <w:rFonts w:hint="default" w:ascii="Times New Roman" w:hAnsi="Times New Roman" w:eastAsia="宋体" w:cs="Times New Roman"/>
                <w:color w:val="000000" w:themeColor="text1"/>
                <w:sz w:val="24"/>
                <w:szCs w:val="24"/>
                <w:highlight w:val="none"/>
                <w:lang w:bidi="ar"/>
                <w14:textFill>
                  <w14:solidFill>
                    <w14:schemeClr w14:val="tx1"/>
                  </w14:solidFill>
                </w14:textFill>
              </w:rPr>
              <w:t>内</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设置</w:t>
            </w:r>
            <w:r>
              <w:rPr>
                <w:rFonts w:hint="eastAsia" w:ascii="Times New Roman" w:hAnsi="Times New Roman" w:eastAsia="宋体" w:cs="Times New Roman"/>
                <w:color w:val="000000" w:themeColor="text1"/>
                <w:sz w:val="24"/>
                <w:szCs w:val="24"/>
                <w:highlight w:val="none"/>
                <w:lang w:val="en-US" w:eastAsia="zh-CN" w:bidi="ar"/>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台移动式焊烟净化器，焊接烟尘经集气口收集进入净化器内部</w:t>
            </w:r>
            <w:r>
              <w:rPr>
                <w:rFonts w:hint="default" w:ascii="Times New Roman" w:hAnsi="Times New Roman" w:eastAsia="宋体" w:cs="Times New Roman"/>
                <w:color w:val="000000" w:themeColor="text1"/>
                <w:sz w:val="24"/>
                <w:szCs w:val="24"/>
                <w:highlight w:val="none"/>
                <w:lang w:bidi="ar"/>
                <w14:textFill>
                  <w14:solidFill>
                    <w14:schemeClr w14:val="tx1"/>
                  </w14:solidFill>
                </w14:textFill>
              </w:rPr>
              <w:t>处理后</w:t>
            </w:r>
            <w:r>
              <w:rPr>
                <w:rFonts w:hint="eastAsia" w:ascii="Times New Roman" w:hAnsi="Times New Roman" w:eastAsia="宋体" w:cs="Times New Roman"/>
                <w:color w:val="000000" w:themeColor="text1"/>
                <w:sz w:val="24"/>
                <w:szCs w:val="24"/>
                <w:highlight w:val="none"/>
                <w:lang w:eastAsia="zh-CN" w:bidi="ar"/>
                <w14:textFill>
                  <w14:solidFill>
                    <w14:schemeClr w14:val="tx1"/>
                  </w14:solidFill>
                </w14:textFill>
              </w:rPr>
              <w:t>于车间内无组织排放</w:t>
            </w:r>
            <w:r>
              <w:rPr>
                <w:rFonts w:hint="default" w:ascii="Times New Roman" w:hAnsi="Times New Roman" w:eastAsia="宋体" w:cs="Times New Roman"/>
                <w:color w:val="000000" w:themeColor="text1"/>
                <w:sz w:val="24"/>
                <w:szCs w:val="21"/>
                <w:highlight w:val="none"/>
                <w:lang w:bidi="ar"/>
                <w14:textFill>
                  <w14:solidFill>
                    <w14:schemeClr w14:val="tx1"/>
                  </w14:solidFill>
                </w14:textFill>
              </w:rPr>
              <w:t>。</w:t>
            </w:r>
          </w:p>
          <w:p w14:paraId="7B2FEE9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移动</w:t>
            </w: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式</w:t>
            </w:r>
            <w:r>
              <w:rPr>
                <w:rFonts w:hint="eastAsia"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焊烟</w:t>
            </w:r>
            <w:r>
              <w:rPr>
                <w:rFonts w:hint="default" w:ascii="Times New Roman" w:hAnsi="Times New Roman" w:eastAsia="宋体" w:cs="Times New Roman"/>
                <w:b/>
                <w:color w:val="000000" w:themeColor="text1"/>
                <w:kern w:val="0"/>
                <w:sz w:val="24"/>
                <w:szCs w:val="24"/>
                <w:highlight w:val="none"/>
                <w:lang w:val="en-US" w:eastAsia="zh-CN" w:bidi="ar-SA"/>
                <w14:textFill>
                  <w14:solidFill>
                    <w14:schemeClr w14:val="tx1"/>
                  </w14:solidFill>
                </w14:textFill>
              </w:rPr>
              <w:t>净化器净化原理：</w:t>
            </w:r>
            <w:r>
              <w:rPr>
                <w:rFonts w:hint="default" w:ascii="Times New Roman" w:hAnsi="Times New Roman" w:eastAsia="宋体" w:cs="Times New Roman"/>
                <w:b w:val="0"/>
                <w:bCs/>
                <w:color w:val="000000" w:themeColor="text1"/>
                <w:kern w:val="0"/>
                <w:sz w:val="24"/>
                <w:szCs w:val="24"/>
                <w:highlight w:val="none"/>
                <w:lang w:val="en-US" w:eastAsia="zh-CN" w:bidi="ar-SA"/>
                <w14:textFill>
                  <w14:solidFill>
                    <w14:schemeClr w14:val="tx1"/>
                  </w14:solidFill>
                </w14:textFill>
              </w:rPr>
              <w:t>移动式焊烟净化器是专为治理焊接作业时产生烟尘、粉尘、有毒气体而开发的一款工业环保设备，它广泛应用于各种焊接、抛光打磨、化学品生产等场所。其工作原理是：内部高压风机在吸气臂罩口处形成负压区域，焊接烟尘负压的作用下由吸气臂进入焊烟净化器设备主体，进风口处阻火器阻留焊接火花，烟尘气体进入焊烟净化器设备主体净化室，高效过滤芯将微小烟雾粉尘颗粒过滤在焊烟净化器设备净化室内，过滤后的气体进入焊烟净化器设备洁净室，经过滤器进一步吸附净化后经出风口排出。</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移动式焊烟净化器集气效率为80%，</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焊接烟尘净化效率为9</w:t>
            </w: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p>
          <w:p w14:paraId="4C1E92E7">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0" w:firstLineChars="200"/>
              <w:textAlignment w:val="auto"/>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焊接烟尘</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排放量（无组织排放）：</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121.2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+121.2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29.088</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kg/</w:t>
            </w:r>
            <w:r>
              <w:rPr>
                <w:rFonts w:hint="eastAsia"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a，0.0831kg/d、0.0083kg/h</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p>
          <w:p w14:paraId="7EE156E8">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7、</w:t>
            </w:r>
            <w:r>
              <w:rPr>
                <w:rFonts w:hint="eastAsia"/>
                <w:b/>
                <w:bCs/>
                <w:color w:val="000000" w:themeColor="text1"/>
                <w:sz w:val="24"/>
                <w:szCs w:val="24"/>
                <w:highlight w:val="none"/>
                <w14:textFill>
                  <w14:solidFill>
                    <w14:schemeClr w14:val="tx1"/>
                  </w14:solidFill>
                </w14:textFill>
              </w:rPr>
              <w:t>汽车运输扬尘</w:t>
            </w:r>
          </w:p>
          <w:p w14:paraId="0053551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w:t>
            </w:r>
            <w:r>
              <w:rPr>
                <w:bCs/>
                <w:color w:val="000000" w:themeColor="text1"/>
                <w:sz w:val="24"/>
                <w:highlight w:val="none"/>
                <w14:textFill>
                  <w14:solidFill>
                    <w14:schemeClr w14:val="tx1"/>
                  </w14:solidFill>
                </w14:textFill>
              </w:rPr>
              <w:t>产排污情况</w:t>
            </w:r>
          </w:p>
          <w:p w14:paraId="31AA4EA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本项目运输产生废气污染物主要为道路扬尘，根据上海港环境保护中心和武汉水运工程学院提出的经验公式估算，汽车扬尘计算公式如下：</w:t>
            </w:r>
          </w:p>
          <w:p w14:paraId="5663D24C">
            <w:pPr>
              <w:pStyle w:val="10"/>
              <w:keepNext w:val="0"/>
              <w:keepLines w:val="0"/>
              <w:pageBreakBefore w:val="0"/>
              <w:widowControl w:val="0"/>
              <w:tabs>
                <w:tab w:val="left" w:pos="3360"/>
              </w:tabs>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position w:val="-14"/>
                <w:sz w:val="24"/>
                <w:szCs w:val="24"/>
                <w:highlight w:val="none"/>
                <w14:textFill>
                  <w14:solidFill>
                    <w14:schemeClr w14:val="tx1"/>
                  </w14:solidFill>
                </w14:textFill>
              </w:rPr>
              <w:object>
                <v:shape id="_x0000_i1031" o:spt="75" type="#_x0000_t75" style="height:20pt;width:238pt;" o:ole="t" filled="f" o:preferrelative="t" stroked="f" coordsize="21600,21600">
                  <v:path/>
                  <v:fill on="f" focussize="0,0"/>
                  <v:stroke on="f" joinstyle="miter"/>
                  <v:imagedata r:id="rId30" o:title=""/>
                  <o:lock v:ext="edit" aspectratio="t"/>
                  <w10:wrap type="none"/>
                  <w10:anchorlock/>
                </v:shape>
                <o:OLEObject Type="Embed" ProgID="Equation.KSEE3" ShapeID="_x0000_i1031" DrawAspect="Content" ObjectID="_1468075731" r:id="rId29">
                  <o:LockedField>false</o:LockedField>
                </o:OLEObject>
              </w:object>
            </w:r>
          </w:p>
          <w:p w14:paraId="73C8FE4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w:t>
            </w:r>
            <w:r>
              <w:rPr>
                <w:rFonts w:hint="eastAsia"/>
                <w:color w:val="000000" w:themeColor="text1"/>
                <w:sz w:val="24"/>
                <w:szCs w:val="24"/>
                <w:highlight w:val="none"/>
                <w:vertAlign w:val="subscript"/>
                <w14:textFill>
                  <w14:solidFill>
                    <w14:schemeClr w14:val="tx1"/>
                  </w14:solidFill>
                </w14:textFill>
              </w:rPr>
              <w:t>p</w:t>
            </w:r>
            <w:r>
              <w:rPr>
                <w:rFonts w:hint="eastAsia"/>
                <w:color w:val="000000" w:themeColor="text1"/>
                <w:sz w:val="24"/>
                <w:szCs w:val="24"/>
                <w:highlight w:val="none"/>
                <w14:textFill>
                  <w14:solidFill>
                    <w14:schemeClr w14:val="tx1"/>
                  </w14:solidFill>
                </w14:textFill>
              </w:rPr>
              <w:t>——汽车扬尘量，kg/辆；</w:t>
            </w:r>
          </w:p>
          <w:p w14:paraId="2F31607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V——汽车速度，km/h；</w:t>
            </w:r>
          </w:p>
          <w:p w14:paraId="065B86F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M——汽车载重量，t；</w:t>
            </w:r>
          </w:p>
          <w:p w14:paraId="08D1280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P ——道路表面粉尘量，kg/m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132B353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L——道路长度，km。</w:t>
            </w:r>
          </w:p>
          <w:p w14:paraId="31D4740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①</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成品运输：</w:t>
            </w:r>
            <w:r>
              <w:rPr>
                <w:rFonts w:hint="default" w:ascii="Times New Roman" w:hAnsi="Times New Roman" w:eastAsia="宋体" w:cs="Times New Roman"/>
                <w:color w:val="000000" w:themeColor="text1"/>
                <w:sz w:val="24"/>
                <w:szCs w:val="22"/>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共配备混凝土运输罐车</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5辆</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，混凝土装载量为10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/车，本项目生产商品混凝土1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其中9040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a通过混凝土罐车拉运至施工现场，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混凝土罐车</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26</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加工砂石52500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其中38500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a（约96250t/a）三背回填材料全部拉运至施工现场，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砂石运输车辆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9</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加工水稳基层材料108800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水稳基层材料，</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加工钢筋结构件8100t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其中5220t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加工预制梁约283片</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/d。则本项目成品运输车次约为68</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0C7E9F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②</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原料运输：</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碎石加工原料</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52700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碎石加工</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原料运输车辆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13</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；本项目水稳站年用碎石</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180000t/a，</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厂区内自产碎石约</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14000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a（约35000t/a）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其余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145000t/a需外购，石粉年用量为80000t/a，</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、石粉</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原料水泥、粉煤灰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年用量共计34000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t计算，</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水泥</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、粉煤灰运输车辆约为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拌和站各骨料原料用量为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2174</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00t/a，</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拌和站各骨料原料</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钢筋等其他原料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则本项目原料运输车次约为62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7BCBDB34">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本项目车辆在厂区内行驶距离</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空车、载重车各</w:t>
            </w:r>
            <w:r>
              <w:rPr>
                <w:rFonts w:hint="default" w:ascii="Times New Roman" w:hAnsi="Times New Roman" w:eastAsia="宋体" w:cs="Times New Roman"/>
                <w:color w:val="000000" w:themeColor="text1"/>
                <w:sz w:val="24"/>
                <w:szCs w:val="24"/>
                <w:highlight w:val="none"/>
                <w14:textFill>
                  <w14:solidFill>
                    <w14:schemeClr w14:val="tx1"/>
                  </w14:solidFill>
                </w14:textFill>
              </w:rPr>
              <w:t>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14:textFill>
                  <w14:solidFill>
                    <w14:schemeClr w14:val="tx1"/>
                  </w14:solidFill>
                </w14:textFill>
              </w:rPr>
              <w:t>计，以速度</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km/h</w:t>
            </w:r>
            <w:r>
              <w:rPr>
                <w:rFonts w:hint="default" w:ascii="Times New Roman" w:hAnsi="Times New Roman" w:eastAsia="宋体" w:cs="Times New Roman"/>
                <w:color w:val="000000" w:themeColor="text1"/>
                <w:sz w:val="24"/>
                <w:szCs w:val="24"/>
                <w:highlight w:val="none"/>
                <w14:textFill>
                  <w14:solidFill>
                    <w14:schemeClr w14:val="tx1"/>
                  </w14:solidFill>
                </w14:textFill>
              </w:rPr>
              <w:t>行驶，厂区道路表面粉尘量按</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0.4kg/m</w:t>
            </w:r>
            <w:r>
              <w:rPr>
                <w:rFonts w:hint="default" w:ascii="Times New Roman" w:hAnsi="Times New Roman" w:eastAsia="TimesNewRomanPSMT" w:cs="Times New Roman"/>
                <w:color w:val="000000" w:themeColor="text1"/>
                <w:sz w:val="24"/>
                <w:szCs w:val="24"/>
                <w:highlight w:val="none"/>
                <w:vertAlign w:val="superscript"/>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计。</w:t>
            </w:r>
          </w:p>
          <w:p w14:paraId="53E4EA8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则</w:t>
            </w:r>
            <w:r>
              <w:rPr>
                <w:rFonts w:hint="eastAsia" w:cs="Times New Roman"/>
                <w:color w:val="000000" w:themeColor="text1"/>
                <w:sz w:val="24"/>
                <w:szCs w:val="24"/>
                <w:highlight w:val="none"/>
                <w:lang w:val="en-US" w:eastAsia="zh-CN"/>
                <w14:textFill>
                  <w14:solidFill>
                    <w14:schemeClr w14:val="tx1"/>
                  </w14:solidFill>
                </w14:textFill>
              </w:rPr>
              <w:t>1）混凝土罐车</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空车</w:t>
            </w:r>
            <w:r>
              <w:rPr>
                <w:rFonts w:hint="eastAsia" w:cs="Times New Roman"/>
                <w:color w:val="000000" w:themeColor="text1"/>
                <w:sz w:val="24"/>
                <w:szCs w:val="24"/>
                <w:highlight w:val="none"/>
                <w:lang w:val="en-US" w:eastAsia="zh-CN"/>
                <w14:textFill>
                  <w14:solidFill>
                    <w14:schemeClr w14:val="tx1"/>
                  </w14:solidFill>
                </w14:textFill>
              </w:rPr>
              <w:t>自重约16t，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运输扬尘产生量为0.</w:t>
            </w:r>
            <w:r>
              <w:rPr>
                <w:rFonts w:hint="eastAsia" w:cs="Times New Roman"/>
                <w:color w:val="000000" w:themeColor="text1"/>
                <w:sz w:val="24"/>
                <w:szCs w:val="24"/>
                <w:highlight w:val="none"/>
                <w:lang w:val="en-US" w:eastAsia="zh-CN"/>
                <w14:textFill>
                  <w14:solidFill>
                    <w14:schemeClr w14:val="tx1"/>
                  </w14:solidFill>
                </w14:textFill>
              </w:rPr>
              <w:t>2601</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；载重车</w:t>
            </w:r>
            <w:r>
              <w:rPr>
                <w:rFonts w:hint="eastAsia" w:cs="Times New Roman"/>
                <w:color w:val="000000" w:themeColor="text1"/>
                <w:sz w:val="24"/>
                <w:szCs w:val="24"/>
                <w:highlight w:val="none"/>
                <w:lang w:val="en-US" w:eastAsia="zh-CN"/>
                <w14:textFill>
                  <w14:solidFill>
                    <w14:schemeClr w14:val="tx1"/>
                  </w14:solidFill>
                </w14:textFill>
              </w:rPr>
              <w:t>总重量约40t，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运输扬尘产生量为0.</w:t>
            </w:r>
            <w:r>
              <w:rPr>
                <w:rFonts w:hint="eastAsia" w:cs="Times New Roman"/>
                <w:color w:val="000000" w:themeColor="text1"/>
                <w:sz w:val="24"/>
                <w:szCs w:val="24"/>
                <w:highlight w:val="none"/>
                <w:lang w:val="en-US" w:eastAsia="zh-CN"/>
                <w14:textFill>
                  <w14:solidFill>
                    <w14:schemeClr w14:val="tx1"/>
                  </w14:solidFill>
                </w14:textFill>
              </w:rPr>
              <w:t>5668</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eastAsia" w:cs="Times New Roman"/>
                <w:color w:val="000000" w:themeColor="text1"/>
                <w:sz w:val="24"/>
                <w:szCs w:val="24"/>
                <w:highlight w:val="none"/>
                <w:lang w:eastAsia="zh-CN"/>
                <w14:textFill>
                  <w14:solidFill>
                    <w14:schemeClr w14:val="tx1"/>
                  </w14:solidFill>
                </w14:textFill>
              </w:rPr>
              <w:t>。则混凝土罐车运输扬尘产生量为</w:t>
            </w:r>
            <w:r>
              <w:rPr>
                <w:rFonts w:hint="eastAsia" w:cs="Times New Roman"/>
                <w:color w:val="000000" w:themeColor="text1"/>
                <w:sz w:val="24"/>
                <w:szCs w:val="24"/>
                <w:highlight w:val="none"/>
                <w:lang w:val="en-US" w:eastAsia="zh-CN"/>
                <w14:textFill>
                  <w14:solidFill>
                    <w14:schemeClr w14:val="tx1"/>
                  </w14:solidFill>
                </w14:textFill>
              </w:rPr>
              <w:t>16.538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kg/d，</w:t>
            </w:r>
            <w:r>
              <w:rPr>
                <w:rFonts w:hint="eastAsia" w:cs="Times New Roman"/>
                <w:color w:val="000000" w:themeColor="text1"/>
                <w:sz w:val="24"/>
                <w:szCs w:val="24"/>
                <w:highlight w:val="none"/>
                <w:lang w:val="en-US" w:eastAsia="zh-CN"/>
                <w14:textFill>
                  <w14:solidFill>
                    <w14:schemeClr w14:val="tx1"/>
                  </w14:solidFill>
                </w14:textFill>
              </w:rPr>
              <w:t>5.7883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p>
          <w:p w14:paraId="6333E5E1">
            <w:pPr>
              <w:pStyle w:val="10"/>
              <w:keepNext w:val="0"/>
              <w:keepLines w:val="0"/>
              <w:pageBreakBefore w:val="0"/>
              <w:widowControl w:val="0"/>
              <w:kinsoku/>
              <w:wordWrap w:val="0"/>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w:t>
            </w:r>
            <w:r>
              <w:rPr>
                <w:rFonts w:hint="eastAsia" w:cs="Times New Roman"/>
                <w:color w:val="000000" w:themeColor="text1"/>
                <w:sz w:val="24"/>
                <w:szCs w:val="24"/>
                <w:highlight w:val="none"/>
                <w:lang w:val="en-US" w:eastAsia="zh-CN"/>
                <w14:textFill>
                  <w14:solidFill>
                    <w14:schemeClr w14:val="tx1"/>
                  </w14:solidFill>
                </w14:textFill>
              </w:rPr>
              <w:t>其他运输</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车辆空车</w:t>
            </w:r>
            <w:r>
              <w:rPr>
                <w:rFonts w:hint="eastAsia" w:cs="Times New Roman"/>
                <w:color w:val="000000" w:themeColor="text1"/>
                <w:sz w:val="24"/>
                <w:szCs w:val="24"/>
                <w:highlight w:val="none"/>
                <w:lang w:val="en-US" w:eastAsia="zh-CN"/>
                <w14:textFill>
                  <w14:solidFill>
                    <w14:schemeClr w14:val="tx1"/>
                  </w14:solidFill>
                </w14:textFill>
              </w:rPr>
              <w:t>自重约20t，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w:t>
            </w:r>
            <w:r>
              <w:rPr>
                <w:rFonts w:hint="eastAsia" w:cs="Times New Roman"/>
                <w:color w:val="000000" w:themeColor="text1"/>
                <w:sz w:val="24"/>
                <w:szCs w:val="24"/>
                <w:highlight w:val="none"/>
                <w:lang w:val="en-US" w:eastAsia="zh-CN"/>
                <w14:textFill>
                  <w14:solidFill>
                    <w14:schemeClr w14:val="tx1"/>
                  </w14:solidFill>
                </w14:textFill>
              </w:rPr>
              <w:t>0.3145</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；载重车</w:t>
            </w:r>
            <w:r>
              <w:rPr>
                <w:rFonts w:hint="eastAsia" w:cs="Times New Roman"/>
                <w:color w:val="000000" w:themeColor="text1"/>
                <w:sz w:val="24"/>
                <w:szCs w:val="24"/>
                <w:highlight w:val="none"/>
                <w:lang w:val="en-US" w:eastAsia="zh-CN"/>
                <w14:textFill>
                  <w14:solidFill>
                    <w14:schemeClr w14:val="tx1"/>
                  </w14:solidFill>
                </w14:textFill>
              </w:rPr>
              <w:t>总重量约50t，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运输扬尘产生量为</w:t>
            </w:r>
            <w:r>
              <w:rPr>
                <w:rFonts w:hint="eastAsia" w:cs="Times New Roman"/>
                <w:color w:val="000000" w:themeColor="text1"/>
                <w:sz w:val="24"/>
                <w:szCs w:val="24"/>
                <w:highlight w:val="none"/>
                <w:lang w:val="en-US" w:eastAsia="zh-CN"/>
                <w14:textFill>
                  <w14:solidFill>
                    <w14:schemeClr w14:val="tx1"/>
                  </w14:solidFill>
                </w14:textFill>
              </w:rPr>
              <w:t>0.6852</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kg/km</w:t>
            </w:r>
            <w:r>
              <w:rPr>
                <w:rFonts w:hint="default" w:ascii="Times New Roman" w:hAnsi="Times New Roman" w:eastAsia="宋体" w:cs="Times New Roman"/>
                <w:color w:val="000000" w:themeColor="text1"/>
                <w:sz w:val="24"/>
                <w:szCs w:val="24"/>
                <w:highlight w:val="none"/>
                <w14:textFill>
                  <w14:solidFill>
                    <w14:schemeClr w14:val="tx1"/>
                  </w14:solidFill>
                </w14:textFill>
              </w:rPr>
              <w:t>·辆</w:t>
            </w:r>
            <w:r>
              <w:rPr>
                <w:rFonts w:hint="eastAsia" w:cs="Times New Roman"/>
                <w:color w:val="000000" w:themeColor="text1"/>
                <w:sz w:val="24"/>
                <w:szCs w:val="24"/>
                <w:highlight w:val="none"/>
                <w:lang w:eastAsia="zh-CN"/>
                <w14:textFill>
                  <w14:solidFill>
                    <w14:schemeClr w14:val="tx1"/>
                  </w14:solidFill>
                </w14:textFill>
              </w:rPr>
              <w:t>。则</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项目</w:t>
            </w:r>
            <w:r>
              <w:rPr>
                <w:rFonts w:hint="eastAsia" w:cs="Times New Roman"/>
                <w:color w:val="000000" w:themeColor="text1"/>
                <w:sz w:val="24"/>
                <w:szCs w:val="24"/>
                <w:highlight w:val="none"/>
                <w:lang w:val="en-US" w:eastAsia="zh-CN"/>
                <w14:textFill>
                  <w14:solidFill>
                    <w14:schemeClr w14:val="tx1"/>
                  </w14:solidFill>
                </w14:textFill>
              </w:rPr>
              <w:t>其他运输</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车辆</w:t>
            </w:r>
            <w:r>
              <w:rPr>
                <w:rFonts w:hint="eastAsia" w:cs="Times New Roman"/>
                <w:color w:val="000000" w:themeColor="text1"/>
                <w:sz w:val="24"/>
                <w:szCs w:val="24"/>
                <w:highlight w:val="none"/>
                <w:lang w:eastAsia="zh-CN"/>
                <w14:textFill>
                  <w14:solidFill>
                    <w14:schemeClr w14:val="tx1"/>
                  </w14:solidFill>
                </w14:textFill>
              </w:rPr>
              <w:t>运输扬尘产生量为</w:t>
            </w:r>
            <w:r>
              <w:rPr>
                <w:rFonts w:hint="eastAsia" w:cs="Times New Roman"/>
                <w:color w:val="000000" w:themeColor="text1"/>
                <w:sz w:val="24"/>
                <w:szCs w:val="24"/>
                <w:highlight w:val="none"/>
                <w:lang w:val="en-US" w:eastAsia="zh-CN"/>
                <w14:textFill>
                  <w14:solidFill>
                    <w14:schemeClr w14:val="tx1"/>
                  </w14:solidFill>
                </w14:textFill>
              </w:rPr>
              <w:t>109.967</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kg/d，</w:t>
            </w:r>
            <w:r>
              <w:rPr>
                <w:rFonts w:hint="eastAsia" w:cs="Times New Roman"/>
                <w:color w:val="000000" w:themeColor="text1"/>
                <w:sz w:val="24"/>
                <w:szCs w:val="24"/>
                <w:highlight w:val="none"/>
                <w:lang w:val="en-US" w:eastAsia="zh-CN"/>
                <w14:textFill>
                  <w14:solidFill>
                    <w14:schemeClr w14:val="tx1"/>
                  </w14:solidFill>
                </w14:textFill>
              </w:rPr>
              <w:t>38.4884</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p>
          <w:p w14:paraId="1A6FBA7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综上，全厂运输扬尘总产生量为</w:t>
            </w:r>
            <w:r>
              <w:rPr>
                <w:rFonts w:hint="eastAsia" w:cs="Times New Roman"/>
                <w:color w:val="000000" w:themeColor="text1"/>
                <w:sz w:val="24"/>
                <w:szCs w:val="24"/>
                <w:highlight w:val="none"/>
                <w:lang w:val="en-US" w:eastAsia="zh-CN"/>
                <w14:textFill>
                  <w14:solidFill>
                    <w14:schemeClr w14:val="tx1"/>
                  </w14:solidFill>
                </w14:textFill>
              </w:rPr>
              <w:t>126.505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kg/d</w:t>
            </w:r>
            <w:r>
              <w:rPr>
                <w:rFonts w:hint="eastAsia" w:cs="Times New Roman"/>
                <w:color w:val="000000" w:themeColor="text1"/>
                <w:sz w:val="24"/>
                <w:szCs w:val="24"/>
                <w:highlight w:val="none"/>
                <w:lang w:val="en-US" w:eastAsia="zh-CN"/>
                <w14:textFill>
                  <w14:solidFill>
                    <w14:schemeClr w14:val="tx1"/>
                  </w14:solidFill>
                </w14:textFill>
              </w:rPr>
              <w:t>（平均12.6505kg/h）</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44.2767</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p>
          <w:p w14:paraId="49CD50A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w:t>
            </w:r>
            <w:r>
              <w:rPr>
                <w:bCs/>
                <w:color w:val="000000" w:themeColor="text1"/>
                <w:sz w:val="24"/>
                <w:highlight w:val="none"/>
                <w14:textFill>
                  <w14:solidFill>
                    <w14:schemeClr w14:val="tx1"/>
                  </w14:solidFill>
                </w14:textFill>
              </w:rPr>
              <w:t>处理措施及排放量</w:t>
            </w:r>
          </w:p>
          <w:p w14:paraId="21082A7F">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bCs/>
                <w:color w:val="000000" w:themeColor="text1"/>
                <w:sz w:val="24"/>
                <w:szCs w:val="22"/>
                <w:highlight w:val="none"/>
                <w14:textFill>
                  <w14:solidFill>
                    <w14:schemeClr w14:val="tx1"/>
                  </w14:solidFill>
                </w14:textFill>
              </w:rPr>
            </w:pPr>
            <w:r>
              <w:rPr>
                <w:rFonts w:hint="default" w:ascii="Times New Roman" w:hAnsi="Times New Roman" w:eastAsia="宋体" w:cs="Times New Roman"/>
                <w:bCs/>
                <w:color w:val="000000" w:themeColor="text1"/>
                <w:sz w:val="24"/>
                <w:szCs w:val="22"/>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14:textFill>
                  <w14:solidFill>
                    <w14:schemeClr w14:val="tx1"/>
                  </w14:solidFill>
                </w14:textFill>
              </w:rPr>
              <w:t>在厂区出口处采取设置洗车平台对进出车辆进行冲洗的方式进行抑尘</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p>
          <w:p w14:paraId="485E07CE">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bCs/>
                <w:color w:val="000000" w:themeColor="text1"/>
                <w:sz w:val="24"/>
                <w:szCs w:val="22"/>
                <w:highlight w:val="none"/>
                <w:lang w:eastAsia="zh-CN"/>
                <w14:textFill>
                  <w14:solidFill>
                    <w14:schemeClr w14:val="tx1"/>
                  </w14:solidFill>
                </w14:textFill>
              </w:rPr>
            </w:pPr>
            <w:r>
              <w:rPr>
                <w:rFonts w:hint="default" w:ascii="Times New Roman" w:hAnsi="Times New Roman" w:eastAsia="宋体" w:cs="Times New Roman"/>
                <w:bCs/>
                <w:color w:val="000000" w:themeColor="text1"/>
                <w:sz w:val="24"/>
                <w:szCs w:val="22"/>
                <w:highlight w:val="none"/>
                <w14:textFill>
                  <w14:solidFill>
                    <w14:schemeClr w14:val="tx1"/>
                  </w14:solidFill>
                </w14:textFill>
              </w:rPr>
              <w:t>B、</w:t>
            </w:r>
            <w:r>
              <w:rPr>
                <w:rFonts w:hint="default" w:ascii="Times New Roman" w:hAnsi="Times New Roman" w:eastAsia="宋体" w:cs="Times New Roman"/>
                <w:color w:val="000000" w:themeColor="text1"/>
                <w:sz w:val="24"/>
                <w:szCs w:val="24"/>
                <w:highlight w:val="none"/>
                <w14:textFill>
                  <w14:solidFill>
                    <w14:schemeClr w14:val="tx1"/>
                  </w14:solidFill>
                </w14:textFill>
              </w:rPr>
              <w:t>内部对进出场道路进行全部硬化</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厂区内路面</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及外部运输道路采用洒水车</w:t>
            </w:r>
            <w:r>
              <w:rPr>
                <w:rFonts w:hint="default" w:ascii="Times New Roman" w:hAnsi="Times New Roman" w:eastAsia="宋体" w:cs="Times New Roman"/>
                <w:color w:val="000000" w:themeColor="text1"/>
                <w:sz w:val="24"/>
                <w:szCs w:val="24"/>
                <w:highlight w:val="none"/>
                <w14:textFill>
                  <w14:solidFill>
                    <w14:schemeClr w14:val="tx1"/>
                  </w14:solidFill>
                </w14:textFill>
              </w:rPr>
              <w:t>定时洒水，</w:t>
            </w:r>
            <w:r>
              <w:rPr>
                <w:rFonts w:hint="default" w:ascii="Times New Roman" w:hAnsi="Times New Roman" w:eastAsia="宋体" w:cs="Times New Roman"/>
                <w:color w:val="000000" w:themeColor="text1"/>
                <w:sz w:val="24"/>
                <w:szCs w:val="22"/>
                <w:highlight w:val="none"/>
                <w14:textFill>
                  <w14:solidFill>
                    <w14:schemeClr w14:val="tx1"/>
                  </w14:solidFill>
                </w14:textFill>
              </w:rPr>
              <w:t>定时清扫，保持路面清洁</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以减少厂区汽车运输扬尘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2844626B">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bCs/>
                <w:color w:val="000000" w:themeColor="text1"/>
                <w:sz w:val="24"/>
                <w:szCs w:val="22"/>
                <w:highlight w:val="none"/>
                <w14:textFill>
                  <w14:solidFill>
                    <w14:schemeClr w14:val="tx1"/>
                  </w14:solidFill>
                </w14:textFill>
              </w:rPr>
            </w:pPr>
            <w:r>
              <w:rPr>
                <w:rFonts w:hint="default" w:ascii="Times New Roman" w:hAnsi="Times New Roman" w:eastAsia="宋体" w:cs="Times New Roman"/>
                <w:bCs/>
                <w:color w:val="000000" w:themeColor="text1"/>
                <w:sz w:val="24"/>
                <w:szCs w:val="22"/>
                <w:highlight w:val="none"/>
                <w14:textFill>
                  <w14:solidFill>
                    <w14:schemeClr w14:val="tx1"/>
                  </w14:solidFill>
                </w14:textFill>
              </w:rPr>
              <w:t>C、骨料运输车辆要加盖篷布封闭遮盖，严禁超载；粉料采用密封罐车运输，以减少原材料的散落。</w:t>
            </w:r>
          </w:p>
          <w:p w14:paraId="65968A9A">
            <w:pPr>
              <w:keepNext w:val="0"/>
              <w:keepLines w:val="0"/>
              <w:pageBreakBefore w:val="0"/>
              <w:widowControl w:val="0"/>
              <w:kinsoku/>
              <w:wordWrap/>
              <w:overflowPunct/>
              <w:topLinePunct w:val="0"/>
              <w:autoSpaceDE/>
              <w:autoSpaceDN/>
              <w:bidi w:val="0"/>
              <w:adjustRightInd w:val="0"/>
              <w:snapToGrid w:val="0"/>
              <w:spacing w:line="360" w:lineRule="auto"/>
              <w:ind w:leftChars="0" w:firstLine="480" w:firstLineChars="200"/>
              <w:jc w:val="both"/>
              <w:textAlignment w:val="auto"/>
              <w:rPr>
                <w:rFonts w:hint="default" w:ascii="Times New Roman" w:hAnsi="Times New Roman" w:eastAsia="宋体" w:cs="Times New Roman"/>
                <w:bCs/>
                <w:color w:val="000000" w:themeColor="text1"/>
                <w:sz w:val="24"/>
                <w:szCs w:val="22"/>
                <w:highlight w:val="none"/>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加强管理，要求运输车辆减速慢行。</w:t>
            </w:r>
          </w:p>
          <w:p w14:paraId="451FF83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参照《全国第二次污染源普查工业源产排污系数手册》附表2 固体物料堆存颗粒物产排污核算系数手册 附录4、附录5 粉尘控制措施控制效率级堆场类型控制效率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粉尘控制措施</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为洒水时，控制效率为74%，</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粉尘控制措施</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为进出车辆冲洗时，控制效率为78%，本项目综合洒水及进出车辆冲洗两类粉尘控制措施，粉尘控制效率大于</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3CC36D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汽车运输扬尘排放量（无组织排放）：</w:t>
            </w:r>
            <w:r>
              <w:rPr>
                <w:rFonts w:hint="eastAsia" w:cs="Times New Roman"/>
                <w:color w:val="000000" w:themeColor="text1"/>
                <w:sz w:val="24"/>
                <w:szCs w:val="24"/>
                <w:highlight w:val="none"/>
                <w:lang w:val="en-US" w:eastAsia="zh-CN"/>
                <w14:textFill>
                  <w14:solidFill>
                    <w14:schemeClr w14:val="tx1"/>
                  </w14:solidFill>
                </w14:textFill>
              </w:rPr>
              <w:t>44.2767</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×（1-0.85）=</w:t>
            </w:r>
            <w:r>
              <w:rPr>
                <w:rFonts w:hint="eastAsia" w:cs="Times New Roman"/>
                <w:color w:val="000000" w:themeColor="text1"/>
                <w:sz w:val="24"/>
                <w:szCs w:val="24"/>
                <w:highlight w:val="none"/>
                <w:lang w:val="en-US" w:eastAsia="zh-CN"/>
                <w14:textFill>
                  <w14:solidFill>
                    <w14:schemeClr w14:val="tx1"/>
                  </w14:solidFill>
                </w14:textFill>
              </w:rPr>
              <w:t>6.6415</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t/a</w:t>
            </w:r>
            <w:r>
              <w:rPr>
                <w:rFonts w:hint="eastAsia" w:cs="Times New Roman"/>
                <w:color w:val="000000" w:themeColor="text1"/>
                <w:sz w:val="24"/>
                <w:szCs w:val="24"/>
                <w:highlight w:val="none"/>
                <w:lang w:val="en-US" w:eastAsia="zh-CN"/>
                <w14:textFill>
                  <w14:solidFill>
                    <w14:schemeClr w14:val="tx1"/>
                  </w14:solidFill>
                </w14:textFill>
              </w:rPr>
              <w:t>，平均约1.8976kg/h</w:t>
            </w:r>
            <w:r>
              <w:rPr>
                <w:rFonts w:hint="default" w:ascii="Times New Roman" w:hAnsi="Times New Roman" w:eastAsia="宋体" w:cs="Times New Roman"/>
                <w:color w:val="000000" w:themeColor="text1"/>
                <w:sz w:val="24"/>
                <w:szCs w:val="24"/>
                <w:highlight w:val="none"/>
                <w:vertAlign w:val="baseline"/>
                <w:lang w:val="en-US" w:eastAsia="zh-CN"/>
                <w14:textFill>
                  <w14:solidFill>
                    <w14:schemeClr w14:val="tx1"/>
                  </w14:solidFill>
                </w14:textFill>
              </w:rPr>
              <w:t>。</w:t>
            </w:r>
          </w:p>
          <w:p w14:paraId="6D30576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8</w:t>
            </w:r>
            <w:r>
              <w:rPr>
                <w:rFonts w:hint="eastAsia"/>
                <w:b/>
                <w:bCs/>
                <w:color w:val="000000" w:themeColor="text1"/>
                <w:sz w:val="24"/>
                <w:szCs w:val="24"/>
                <w:highlight w:val="none"/>
                <w14:textFill>
                  <w14:solidFill>
                    <w14:schemeClr w14:val="tx1"/>
                  </w14:solidFill>
                </w14:textFill>
              </w:rPr>
              <w:t>、汽车尾气</w:t>
            </w:r>
          </w:p>
          <w:p w14:paraId="5741C19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石料加工现场机械设备较少，主要为装载机、运输车辆，以柴油和汽油为燃料，有一定的尾气产生。以柴油为燃料的机械设备产生的废气，主要污染物为CO、NOx以及未完全燃烧的碳氢化合物HC等。区域内项目车辆发动时间短且处于开阔环境，尾气产生后能够很快扩散，不会对区域大气造成不良影响。</w:t>
            </w:r>
          </w:p>
          <w:p w14:paraId="5D780A1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default"/>
                <w:b/>
                <w:bCs/>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9、食堂油烟</w:t>
            </w:r>
          </w:p>
          <w:p w14:paraId="1FDDBA8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产生情况</w:t>
            </w:r>
          </w:p>
          <w:p w14:paraId="26D2F3B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项目设有职工食堂，食物在烹饪、加工过程中，挥发出的油脂、有机质及热分解或裂解产物会形成油烟废气。项目用餐人数共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160</w:t>
            </w:r>
            <w:r>
              <w:rPr>
                <w:rFonts w:hint="default" w:ascii="Times New Roman" w:hAnsi="Times New Roman" w:eastAsia="宋体" w:cs="Times New Roman"/>
                <w:color w:val="000000" w:themeColor="text1"/>
                <w:sz w:val="24"/>
                <w:szCs w:val="24"/>
                <w:highlight w:val="none"/>
                <w14:textFill>
                  <w14:solidFill>
                    <w14:schemeClr w14:val="tx1"/>
                  </w14:solidFill>
                </w14:textFill>
              </w:rPr>
              <w:t>人，食用油用量以</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30g/(</w:t>
            </w:r>
            <w:r>
              <w:rPr>
                <w:rFonts w:hint="default" w:ascii="Times New Roman" w:hAnsi="Times New Roman" w:eastAsia="宋体" w:cs="Times New Roman"/>
                <w:color w:val="000000" w:themeColor="text1"/>
                <w:sz w:val="24"/>
                <w:szCs w:val="24"/>
                <w:highlight w:val="none"/>
                <w14:textFill>
                  <w14:solidFill>
                    <w14:schemeClr w14:val="tx1"/>
                  </w14:solidFill>
                </w14:textFill>
              </w:rPr>
              <w:t>人·</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14:textFill>
                  <w14:solidFill>
                    <w14:schemeClr w14:val="tx1"/>
                  </w14:solidFill>
                </w14:textFill>
              </w:rPr>
              <w:t>计，即食用油量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4.8</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kg/d</w:t>
            </w:r>
            <w:r>
              <w:rPr>
                <w:rFonts w:hint="default" w:ascii="Times New Roman" w:hAnsi="Times New Roman" w:eastAsia="宋体" w:cs="Times New Roman"/>
                <w:color w:val="000000" w:themeColor="text1"/>
                <w:sz w:val="24"/>
                <w:szCs w:val="24"/>
                <w:highlight w:val="none"/>
                <w14:textFill>
                  <w14:solidFill>
                    <w14:schemeClr w14:val="tx1"/>
                  </w14:solidFill>
                </w14:textFill>
              </w:rPr>
              <w:t>，油烟排放系数按</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3.0%</w:t>
            </w:r>
            <w:r>
              <w:rPr>
                <w:rFonts w:hint="default" w:ascii="Times New Roman" w:hAnsi="Times New Roman" w:eastAsia="宋体" w:cs="Times New Roman"/>
                <w:color w:val="000000" w:themeColor="text1"/>
                <w:sz w:val="24"/>
                <w:szCs w:val="24"/>
                <w:highlight w:val="none"/>
                <w14:textFill>
                  <w14:solidFill>
                    <w14:schemeClr w14:val="tx1"/>
                  </w14:solidFill>
                </w14:textFill>
              </w:rPr>
              <w:t>计，则油烟废气产生量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144</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g/d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50.4</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581C96B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治理措施及排放情况</w:t>
            </w:r>
          </w:p>
          <w:p w14:paraId="17C1D22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b/>
                <w:bCs/>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食堂设置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个基准灶头，</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w:t>
            </w:r>
            <w:r>
              <w:rPr>
                <w:rFonts w:hint="default" w:ascii="Times New Roman" w:hAnsi="Times New Roman" w:eastAsia="宋体" w:cs="Times New Roman"/>
                <w:color w:val="000000" w:themeColor="text1"/>
                <w:sz w:val="24"/>
                <w:szCs w:val="24"/>
                <w:highlight w:val="none"/>
                <w14:textFill>
                  <w14:solidFill>
                    <w14:schemeClr w14:val="tx1"/>
                  </w14:solidFill>
                </w14:textFill>
              </w:rPr>
              <w:t>排风量</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2000m</w:t>
            </w:r>
            <w:r>
              <w:rPr>
                <w:rFonts w:hint="default" w:ascii="Times New Roman" w:hAnsi="Times New Roman" w:eastAsia="宋体" w:cs="Times New Roman"/>
                <w:color w:val="000000" w:themeColor="text1"/>
                <w:sz w:val="24"/>
                <w:szCs w:val="24"/>
                <w:highlight w:val="none"/>
                <w14:textFill>
                  <w14:solidFill>
                    <w14:schemeClr w14:val="tx1"/>
                  </w14:solidFill>
                </w14:textFill>
              </w:rPr>
              <w:t>³</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/h</w:t>
            </w:r>
            <w:r>
              <w:rPr>
                <w:rFonts w:hint="default" w:ascii="Times New Roman" w:hAnsi="Times New Roman" w:eastAsia="宋体" w:cs="Times New Roman"/>
                <w:color w:val="000000" w:themeColor="text1"/>
                <w:sz w:val="24"/>
                <w:szCs w:val="24"/>
                <w:highlight w:val="none"/>
                <w14:textFill>
                  <w14:solidFill>
                    <w14:schemeClr w14:val="tx1"/>
                  </w14:solidFill>
                </w14:textFill>
              </w:rPr>
              <w:t>，烹饪时间按</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5h/</w:t>
            </w:r>
            <w:r>
              <w:rPr>
                <w:rFonts w:hint="default" w:ascii="Times New Roman" w:hAnsi="Times New Roman" w:eastAsia="宋体" w:cs="Times New Roman"/>
                <w:color w:val="000000" w:themeColor="text1"/>
                <w:sz w:val="24"/>
                <w:szCs w:val="24"/>
                <w:highlight w:val="none"/>
                <w14:textFill>
                  <w14:solidFill>
                    <w14:schemeClr w14:val="tx1"/>
                  </w14:solidFill>
                </w14:textFill>
              </w:rPr>
              <w:t>天计，则油烟产生浓度</w:t>
            </w:r>
            <w:r>
              <w:rPr>
                <w:rFonts w:hint="eastAsia" w:cs="Times New Roman"/>
                <w:color w:val="000000" w:themeColor="text1"/>
                <w:sz w:val="24"/>
                <w:szCs w:val="24"/>
                <w:highlight w:val="none"/>
                <w:lang w:val="en-US" w:eastAsia="zh-CN"/>
                <w14:textFill>
                  <w14:solidFill>
                    <w14:schemeClr w14:val="tx1"/>
                  </w14:solidFill>
                </w14:textFill>
              </w:rPr>
              <w:t>4.8</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mg/m</w:t>
            </w:r>
            <w:r>
              <w:rPr>
                <w:rFonts w:hint="default" w:ascii="Times New Roman" w:hAnsi="Times New Roman" w:eastAsia="宋体" w:cs="Times New Roman"/>
                <w:color w:val="000000" w:themeColor="text1"/>
                <w:sz w:val="24"/>
                <w:szCs w:val="24"/>
                <w:highlight w:val="none"/>
                <w14:textFill>
                  <w14:solidFill>
                    <w14:schemeClr w14:val="tx1"/>
                  </w14:solidFill>
                </w14:textFill>
              </w:rPr>
              <w:t>³。项目拟</w:t>
            </w:r>
            <w:r>
              <w:rPr>
                <w:rFonts w:hint="eastAsia" w:eastAsia="宋体" w:cs="Times New Roman"/>
                <w:color w:val="000000" w:themeColor="text1"/>
                <w:sz w:val="24"/>
                <w:szCs w:val="24"/>
                <w:highlight w:val="none"/>
                <w:lang w:eastAsia="zh-CN"/>
                <w14:textFill>
                  <w14:solidFill>
                    <w14:schemeClr w14:val="tx1"/>
                  </w14:solidFill>
                </w14:textFill>
              </w:rPr>
              <w:t>设置</w:t>
            </w:r>
            <w:r>
              <w:rPr>
                <w:rFonts w:hint="eastAsia"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油烟净化器</w:t>
            </w:r>
            <w:r>
              <w:rPr>
                <w:rFonts w:hint="default" w:ascii="Times New Roman" w:hAnsi="Times New Roman" w:eastAsia="宋体" w:cs="Times New Roman"/>
                <w:color w:val="000000" w:themeColor="text1"/>
                <w:sz w:val="24"/>
                <w:szCs w:val="24"/>
                <w:highlight w:val="none"/>
                <w14:textFill>
                  <w14:solidFill>
                    <w14:schemeClr w14:val="tx1"/>
                  </w14:solidFill>
                </w14:textFill>
              </w:rPr>
              <w:t>对油烟进行净化处理，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净化效率约为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75%，</w:t>
            </w:r>
            <w:r>
              <w:rPr>
                <w:rFonts w:hint="default" w:ascii="Times New Roman" w:hAnsi="Times New Roman" w:eastAsia="宋体" w:cs="Times New Roman"/>
                <w:color w:val="000000" w:themeColor="text1"/>
                <w:sz w:val="24"/>
                <w:szCs w:val="24"/>
                <w:highlight w:val="none"/>
                <w14:textFill>
                  <w14:solidFill>
                    <w14:schemeClr w14:val="tx1"/>
                  </w14:solidFill>
                </w14:textFill>
              </w:rPr>
              <w:t>通过排烟管道引至</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屋顶</w:t>
            </w:r>
            <w:r>
              <w:rPr>
                <w:rFonts w:hint="default" w:ascii="Times New Roman" w:hAnsi="Times New Roman" w:eastAsia="宋体" w:cs="Times New Roman"/>
                <w:color w:val="000000" w:themeColor="text1"/>
                <w:sz w:val="24"/>
                <w:szCs w:val="24"/>
                <w:highlight w:val="none"/>
                <w14:textFill>
                  <w14:solidFill>
                    <w14:schemeClr w14:val="tx1"/>
                  </w14:solidFill>
                </w14:textFill>
              </w:rPr>
              <w:t>高空排放，排放量约</w:t>
            </w:r>
            <w:r>
              <w:rPr>
                <w:rFonts w:hint="eastAsia" w:eastAsia="TimesNewRomanPS-BoldMT" w:cs="Times New Roman"/>
                <w:b/>
                <w:color w:val="000000" w:themeColor="text1"/>
                <w:sz w:val="24"/>
                <w:szCs w:val="24"/>
                <w:highlight w:val="none"/>
                <w:lang w:val="en-US" w:eastAsia="zh-CN"/>
                <w14:textFill>
                  <w14:solidFill>
                    <w14:schemeClr w14:val="tx1"/>
                  </w14:solidFill>
                </w14:textFill>
              </w:rPr>
              <w:t>36</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g/d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eastAsia="宋体" w:cs="Times New Roman"/>
                <w:color w:val="000000" w:themeColor="text1"/>
                <w:sz w:val="24"/>
                <w:szCs w:val="24"/>
                <w:highlight w:val="none"/>
                <w:lang w:val="en-US" w:eastAsia="zh-CN"/>
                <w14:textFill>
                  <w14:solidFill>
                    <w14:schemeClr w14:val="tx1"/>
                  </w14:solidFill>
                </w14:textFill>
              </w:rPr>
              <w:t>12.6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kg/a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，排放浓度</w:t>
            </w:r>
            <w:r>
              <w:rPr>
                <w:rFonts w:hint="eastAsia" w:eastAsia="TimesNewRomanPS-BoldMT" w:cs="Times New Roman"/>
                <w:b/>
                <w:color w:val="000000" w:themeColor="text1"/>
                <w:sz w:val="24"/>
                <w:szCs w:val="24"/>
                <w:highlight w:val="none"/>
                <w:lang w:val="en-US" w:eastAsia="zh-CN"/>
                <w14:textFill>
                  <w14:solidFill>
                    <w14:schemeClr w14:val="tx1"/>
                  </w14:solidFill>
                </w14:textFill>
              </w:rPr>
              <w:t>1.2</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mg/m³</w:t>
            </w:r>
            <w:r>
              <w:rPr>
                <w:rFonts w:hint="default" w:ascii="Times New Roman" w:hAnsi="Times New Roman" w:eastAsia="宋体" w:cs="Times New Roman"/>
                <w:color w:val="000000" w:themeColor="text1"/>
                <w:sz w:val="24"/>
                <w:szCs w:val="24"/>
                <w:highlight w:val="none"/>
                <w14:textFill>
                  <w14:solidFill>
                    <w14:schemeClr w14:val="tx1"/>
                  </w14:solidFill>
                </w14:textFill>
              </w:rPr>
              <w:t>，满足《饮食业油烟排放标准（试行）》</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(GB18483-2001)</w:t>
            </w:r>
            <w:r>
              <w:rPr>
                <w:rFonts w:hint="default" w:ascii="Times New Roman" w:hAnsi="Times New Roman" w:eastAsia="宋体" w:cs="Times New Roman"/>
                <w:color w:val="000000" w:themeColor="text1"/>
                <w:sz w:val="24"/>
                <w:szCs w:val="24"/>
                <w:highlight w:val="none"/>
                <w14:textFill>
                  <w14:solidFill>
                    <w14:schemeClr w14:val="tx1"/>
                  </w14:solidFill>
                </w14:textFill>
              </w:rPr>
              <w:t>标准要求（</w:t>
            </w:r>
            <w:r>
              <w:rPr>
                <w:rFonts w:hint="default" w:ascii="Times New Roman" w:hAnsi="Times New Roman" w:eastAsia="TimesNewRomanPS-BoldMT" w:cs="Times New Roman"/>
                <w:b/>
                <w:color w:val="000000" w:themeColor="text1"/>
                <w:sz w:val="24"/>
                <w:szCs w:val="24"/>
                <w:highlight w:val="none"/>
                <w14:textFill>
                  <w14:solidFill>
                    <w14:schemeClr w14:val="tx1"/>
                  </w14:solidFill>
                </w14:textFill>
              </w:rPr>
              <w:t>≤2mg/m³</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42E06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9</w:t>
            </w:r>
            <w:r>
              <w:rPr>
                <w:rFonts w:hint="eastAsia"/>
                <w:b/>
                <w:bCs/>
                <w:color w:val="000000" w:themeColor="text1"/>
                <w:sz w:val="24"/>
                <w:szCs w:val="24"/>
                <w:highlight w:val="none"/>
                <w14:textFill>
                  <w14:solidFill>
                    <w14:schemeClr w14:val="tx1"/>
                  </w14:solidFill>
                </w14:textFill>
              </w:rPr>
              <w:t>、备用发电机废气</w:t>
            </w:r>
          </w:p>
          <w:p w14:paraId="3D1DAA4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highlight w:val="none"/>
                <w14:textFill>
                  <w14:solidFill>
                    <w14:schemeClr w14:val="tx1"/>
                  </w14:solidFill>
                </w14:textFill>
              </w:rPr>
              <w:t>本项目发电机采用0#柴油作为燃料，发电机自带消烟除尘处理，燃油废气经排风系统收集后</w:t>
            </w:r>
            <w:r>
              <w:rPr>
                <w:rFonts w:hint="eastAsia"/>
                <w:color w:val="000000" w:themeColor="text1"/>
                <w:sz w:val="24"/>
                <w:highlight w:val="none"/>
                <w14:textFill>
                  <w14:solidFill>
                    <w14:schemeClr w14:val="tx1"/>
                  </w14:solidFill>
                </w14:textFill>
              </w:rPr>
              <w:t>专用烟道排放</w:t>
            </w:r>
            <w:r>
              <w:rPr>
                <w:color w:val="000000" w:themeColor="text1"/>
                <w:sz w:val="24"/>
                <w:highlight w:val="none"/>
                <w14:textFill>
                  <w14:solidFill>
                    <w14:schemeClr w14:val="tx1"/>
                  </w14:solidFill>
                </w14:textFill>
              </w:rPr>
              <w:t>。0#柴油燃烧产生污染较小，发电机使用频率极低，只要对发电机进行了消烟除尘处理，控制好燃烧状况，燃油废气中的主要污染物烟尘、NO</w:t>
            </w:r>
            <w:r>
              <w:rPr>
                <w:color w:val="000000" w:themeColor="text1"/>
                <w:sz w:val="24"/>
                <w:highlight w:val="none"/>
                <w:vertAlign w:val="subscript"/>
                <w14:textFill>
                  <w14:solidFill>
                    <w14:schemeClr w14:val="tx1"/>
                  </w14:solidFill>
                </w14:textFill>
              </w:rPr>
              <w:t>X</w:t>
            </w:r>
            <w:r>
              <w:rPr>
                <w:color w:val="000000" w:themeColor="text1"/>
                <w:sz w:val="24"/>
                <w:highlight w:val="none"/>
                <w14:textFill>
                  <w14:solidFill>
                    <w14:schemeClr w14:val="tx1"/>
                  </w14:solidFill>
                </w14:textFill>
              </w:rPr>
              <w:t>、SO</w:t>
            </w:r>
            <w:r>
              <w:rPr>
                <w:color w:val="000000" w:themeColor="text1"/>
                <w:sz w:val="24"/>
                <w:highlight w:val="none"/>
                <w:vertAlign w:val="subscript"/>
                <w14:textFill>
                  <w14:solidFill>
                    <w14:schemeClr w14:val="tx1"/>
                  </w14:solidFill>
                </w14:textFill>
              </w:rPr>
              <w:t>2</w:t>
            </w:r>
            <w:r>
              <w:rPr>
                <w:color w:val="000000" w:themeColor="text1"/>
                <w:sz w:val="24"/>
                <w:highlight w:val="none"/>
                <w14:textFill>
                  <w14:solidFill>
                    <w14:schemeClr w14:val="tx1"/>
                  </w14:solidFill>
                </w14:textFill>
              </w:rPr>
              <w:t>均可做到达标排放</w:t>
            </w:r>
            <w:r>
              <w:rPr>
                <w:rFonts w:hint="eastAsia"/>
                <w:color w:val="000000" w:themeColor="text1"/>
                <w:sz w:val="24"/>
                <w:highlight w:val="none"/>
                <w14:textFill>
                  <w14:solidFill>
                    <w14:schemeClr w14:val="tx1"/>
                  </w14:solidFill>
                </w14:textFill>
              </w:rPr>
              <w:t>，对大气环境影响较小</w:t>
            </w:r>
            <w:r>
              <w:rPr>
                <w:color w:val="000000" w:themeColor="text1"/>
                <w:sz w:val="24"/>
                <w:highlight w:val="none"/>
                <w14:textFill>
                  <w14:solidFill>
                    <w14:schemeClr w14:val="tx1"/>
                  </w14:solidFill>
                </w14:textFill>
              </w:rPr>
              <w:t>。</w:t>
            </w:r>
          </w:p>
          <w:p w14:paraId="7F080C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0</w:t>
            </w:r>
            <w:r>
              <w:rPr>
                <w:rFonts w:hint="eastAsia"/>
                <w:b/>
                <w:bCs/>
                <w:color w:val="000000" w:themeColor="text1"/>
                <w:sz w:val="24"/>
                <w:szCs w:val="24"/>
                <w:highlight w:val="none"/>
                <w14:textFill>
                  <w14:solidFill>
                    <w14:schemeClr w14:val="tx1"/>
                  </w14:solidFill>
                </w14:textFill>
              </w:rPr>
              <w:t>、废气污染物排放及达标情况分析</w:t>
            </w:r>
          </w:p>
          <w:p w14:paraId="748D949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本项目废气污染物排放及达标情况见下表。</w:t>
            </w:r>
          </w:p>
          <w:p w14:paraId="35592DE2">
            <w:pPr>
              <w:pStyle w:val="10"/>
              <w:ind w:left="1470" w:right="1470"/>
              <w:rPr>
                <w:color w:val="000000" w:themeColor="text1"/>
                <w:sz w:val="24"/>
                <w:szCs w:val="24"/>
                <w:highlight w:val="none"/>
                <w14:textFill>
                  <w14:solidFill>
                    <w14:schemeClr w14:val="tx1"/>
                  </w14:solidFill>
                </w14:textFill>
              </w:rPr>
            </w:pPr>
          </w:p>
        </w:tc>
      </w:tr>
    </w:tbl>
    <w:p w14:paraId="6C9285DB">
      <w:pPr>
        <w:rPr>
          <w:rFonts w:ascii="Times New Roman" w:hAnsi="Times New Roman" w:eastAsia="宋体"/>
          <w:color w:val="000000" w:themeColor="text1"/>
          <w:kern w:val="0"/>
          <w:sz w:val="24"/>
          <w:szCs w:val="24"/>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20"/>
      </w:tblGrid>
      <w:tr w14:paraId="0ABE4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93" w:hRule="atLeast"/>
        </w:trPr>
        <w:tc>
          <w:tcPr>
            <w:tcW w:w="14220" w:type="dxa"/>
          </w:tcPr>
          <w:p w14:paraId="26DC1C6E">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0" w:firstLineChars="0"/>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ascii="Times New Roman" w:hAnsi="Times New Roman" w:eastAsia="宋体"/>
                <w:b/>
                <w:bCs/>
                <w:color w:val="000000" w:themeColor="text1"/>
                <w:szCs w:val="21"/>
                <w:highlight w:val="none"/>
                <w:lang w:bidi="ar"/>
                <w14:textFill>
                  <w14:solidFill>
                    <w14:schemeClr w14:val="tx1"/>
                  </w14:solidFill>
                </w14:textFill>
              </w:rPr>
              <w:t>表</w:t>
            </w:r>
            <w:r>
              <w:rPr>
                <w:rFonts w:hint="eastAsia" w:ascii="Times New Roman" w:hAnsi="Times New Roman" w:eastAsia="宋体"/>
                <w:b/>
                <w:bCs/>
                <w:color w:val="000000" w:themeColor="text1"/>
                <w:szCs w:val="21"/>
                <w:highlight w:val="none"/>
                <w:lang w:bidi="ar"/>
                <w14:textFill>
                  <w14:solidFill>
                    <w14:schemeClr w14:val="tx1"/>
                  </w14:solidFill>
                </w14:textFill>
              </w:rPr>
              <w:t>4-</w:t>
            </w: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6</w:t>
            </w:r>
            <w:r>
              <w:rPr>
                <w:rFonts w:ascii="Times New Roman" w:hAnsi="Times New Roman" w:eastAsia="宋体"/>
                <w:b/>
                <w:bCs/>
                <w:color w:val="000000" w:themeColor="text1"/>
                <w:szCs w:val="21"/>
                <w:highlight w:val="none"/>
                <w:lang w:bidi="ar"/>
                <w14:textFill>
                  <w14:solidFill>
                    <w14:schemeClr w14:val="tx1"/>
                  </w14:solidFill>
                </w14:textFill>
              </w:rPr>
              <w:t xml:space="preserve">     </w:t>
            </w:r>
            <w:r>
              <w:rPr>
                <w:rFonts w:hint="eastAsia" w:ascii="Times New Roman" w:hAnsi="Times New Roman" w:eastAsia="宋体"/>
                <w:b/>
                <w:bCs/>
                <w:color w:val="000000" w:themeColor="text1"/>
                <w:szCs w:val="21"/>
                <w:highlight w:val="none"/>
                <w:lang w:bidi="ar"/>
                <w14:textFill>
                  <w14:solidFill>
                    <w14:schemeClr w14:val="tx1"/>
                  </w14:solidFill>
                </w14:textFill>
              </w:rPr>
              <w:t>废气污染物产生及排放情况一览表</w:t>
            </w:r>
          </w:p>
          <w:tbl>
            <w:tblPr>
              <w:tblStyle w:val="20"/>
              <w:tblW w:w="4954" w:type="pct"/>
              <w:jc w:val="center"/>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6"/>
              <w:gridCol w:w="2275"/>
              <w:gridCol w:w="1232"/>
              <w:gridCol w:w="1596"/>
              <w:gridCol w:w="4163"/>
              <w:gridCol w:w="1299"/>
              <w:gridCol w:w="1521"/>
              <w:gridCol w:w="1338"/>
            </w:tblGrid>
            <w:tr w14:paraId="1A4CBA0A">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tcBorders>
                    <w:top w:val="single" w:color="auto" w:sz="12" w:space="0"/>
                  </w:tcBorders>
                  <w:vAlign w:val="center"/>
                </w:tcPr>
                <w:p w14:paraId="76DBF4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序号</w:t>
                  </w:r>
                </w:p>
              </w:tc>
              <w:tc>
                <w:tcPr>
                  <w:tcW w:w="820" w:type="pct"/>
                  <w:tcBorders>
                    <w:top w:val="single" w:color="auto" w:sz="12" w:space="0"/>
                  </w:tcBorders>
                  <w:vAlign w:val="center"/>
                </w:tcPr>
                <w:p w14:paraId="6EF8E3C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产污环节</w:t>
                  </w:r>
                </w:p>
              </w:tc>
              <w:tc>
                <w:tcPr>
                  <w:tcW w:w="444" w:type="pct"/>
                  <w:tcBorders>
                    <w:top w:val="single" w:color="auto" w:sz="12" w:space="0"/>
                  </w:tcBorders>
                  <w:vAlign w:val="center"/>
                </w:tcPr>
                <w:p w14:paraId="7C0CB2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产生量t/a</w:t>
                  </w:r>
                </w:p>
              </w:tc>
              <w:tc>
                <w:tcPr>
                  <w:tcW w:w="575" w:type="pct"/>
                  <w:tcBorders>
                    <w:top w:val="single" w:color="auto" w:sz="12" w:space="0"/>
                    <w:right w:val="nil"/>
                  </w:tcBorders>
                  <w:vAlign w:val="center"/>
                </w:tcPr>
                <w:p w14:paraId="23868D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产生速率kg/h</w:t>
                  </w:r>
                </w:p>
              </w:tc>
              <w:tc>
                <w:tcPr>
                  <w:tcW w:w="1500" w:type="pct"/>
                  <w:tcBorders>
                    <w:top w:val="single" w:color="auto" w:sz="12" w:space="0"/>
                    <w:right w:val="nil"/>
                  </w:tcBorders>
                  <w:vAlign w:val="center"/>
                </w:tcPr>
                <w:p w14:paraId="4AB6C2F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治理措施</w:t>
                  </w:r>
                </w:p>
              </w:tc>
              <w:tc>
                <w:tcPr>
                  <w:tcW w:w="468" w:type="pct"/>
                  <w:tcBorders>
                    <w:top w:val="single" w:color="auto" w:sz="12" w:space="0"/>
                    <w:right w:val="nil"/>
                  </w:tcBorders>
                  <w:vAlign w:val="center"/>
                </w:tcPr>
                <w:p w14:paraId="6F8270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排放量t/a</w:t>
                  </w:r>
                </w:p>
              </w:tc>
              <w:tc>
                <w:tcPr>
                  <w:tcW w:w="548" w:type="pct"/>
                  <w:tcBorders>
                    <w:top w:val="single" w:color="auto" w:sz="12" w:space="0"/>
                    <w:right w:val="nil"/>
                  </w:tcBorders>
                  <w:vAlign w:val="center"/>
                </w:tcPr>
                <w:p w14:paraId="7586064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排放速率kg/h</w:t>
                  </w:r>
                </w:p>
              </w:tc>
              <w:tc>
                <w:tcPr>
                  <w:tcW w:w="482" w:type="pct"/>
                  <w:tcBorders>
                    <w:top w:val="single" w:color="auto" w:sz="12" w:space="0"/>
                    <w:right w:val="nil"/>
                  </w:tcBorders>
                  <w:vAlign w:val="center"/>
                </w:tcPr>
                <w:p w14:paraId="238A619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排放形式</w:t>
                  </w:r>
                </w:p>
              </w:tc>
            </w:tr>
            <w:tr w14:paraId="220CD0E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4470D8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1</w:t>
                  </w:r>
                </w:p>
              </w:tc>
              <w:tc>
                <w:tcPr>
                  <w:tcW w:w="820" w:type="pct"/>
                  <w:vAlign w:val="center"/>
                </w:tcPr>
                <w:p w14:paraId="4DB352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原料</w:t>
                  </w:r>
                  <w:r>
                    <w:rPr>
                      <w:rFonts w:hint="eastAsia" w:ascii="Times New Roman" w:hAnsi="Times New Roman" w:eastAsia="宋体"/>
                      <w:color w:val="000000" w:themeColor="text1"/>
                      <w:szCs w:val="21"/>
                      <w:highlight w:val="none"/>
                      <w:lang w:eastAsia="zh-CN" w:bidi="ar"/>
                      <w14:textFill>
                        <w14:solidFill>
                          <w14:schemeClr w14:val="tx1"/>
                        </w14:solidFill>
                      </w14:textFill>
                    </w:rPr>
                    <w:t>装卸、堆存扬尘</w:t>
                  </w:r>
                </w:p>
              </w:tc>
              <w:tc>
                <w:tcPr>
                  <w:tcW w:w="444" w:type="pct"/>
                  <w:vAlign w:val="center"/>
                </w:tcPr>
                <w:p w14:paraId="7AC9B4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44.4857</w:t>
                  </w:r>
                </w:p>
              </w:tc>
              <w:tc>
                <w:tcPr>
                  <w:tcW w:w="575" w:type="pct"/>
                  <w:tcBorders>
                    <w:right w:val="nil"/>
                  </w:tcBorders>
                  <w:vAlign w:val="center"/>
                </w:tcPr>
                <w:p w14:paraId="6D768F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12.7102</w:t>
                  </w:r>
                </w:p>
              </w:tc>
              <w:tc>
                <w:tcPr>
                  <w:tcW w:w="1500" w:type="pct"/>
                  <w:tcBorders>
                    <w:right w:val="nil"/>
                  </w:tcBorders>
                  <w:vAlign w:val="center"/>
                </w:tcPr>
                <w:p w14:paraId="2F5EC7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料仓、配料仓（斗）均采用三面围挡+彩钢顶棚的形式设置，并在顶部设置有喷雾除尘装置（每个料仓设置3个喷雾点）</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r>
                    <w:rPr>
                      <w:rFonts w:hint="eastAsia" w:ascii="Times New Roman" w:hAnsi="Times New Roman" w:eastAsia="宋体"/>
                      <w:color w:val="000000" w:themeColor="text1"/>
                      <w:szCs w:val="21"/>
                      <w:highlight w:val="none"/>
                      <w:lang w:bidi="ar"/>
                      <w14:textFill>
                        <w14:solidFill>
                          <w14:schemeClr w14:val="tx1"/>
                        </w14:solidFill>
                      </w14:textFill>
                    </w:rPr>
                    <w:t>台移动式除尘雾炮机。（</w:t>
                  </w:r>
                  <w:r>
                    <w:rPr>
                      <w:rFonts w:hint="eastAsia" w:ascii="Times New Roman" w:hAnsi="Times New Roman" w:eastAsia="宋体"/>
                      <w:color w:val="000000" w:themeColor="text1"/>
                      <w:szCs w:val="21"/>
                      <w:highlight w:val="none"/>
                      <w:lang w:eastAsia="zh-CN" w:bidi="ar"/>
                      <w14:textFill>
                        <w14:solidFill>
                          <w14:schemeClr w14:val="tx1"/>
                        </w14:solidFill>
                      </w14:textFill>
                    </w:rPr>
                    <w:t>综合</w:t>
                  </w:r>
                  <w:r>
                    <w:rPr>
                      <w:rFonts w:hint="eastAsia" w:ascii="Times New Roman" w:hAnsi="Times New Roman" w:eastAsia="宋体"/>
                      <w:color w:val="000000" w:themeColor="text1"/>
                      <w:szCs w:val="21"/>
                      <w:highlight w:val="none"/>
                      <w:lang w:bidi="ar"/>
                      <w14:textFill>
                        <w14:solidFill>
                          <w14:schemeClr w14:val="tx1"/>
                        </w14:solidFill>
                      </w14:textFill>
                    </w:rPr>
                    <w:t>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99.6056</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468" w:type="pct"/>
                  <w:tcBorders>
                    <w:right w:val="nil"/>
                  </w:tcBorders>
                  <w:vAlign w:val="center"/>
                </w:tcPr>
                <w:p w14:paraId="3493FC2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0.2505</w:t>
                  </w:r>
                </w:p>
              </w:tc>
              <w:tc>
                <w:tcPr>
                  <w:tcW w:w="548" w:type="pct"/>
                  <w:tcBorders>
                    <w:right w:val="nil"/>
                  </w:tcBorders>
                  <w:vAlign w:val="center"/>
                </w:tcPr>
                <w:p w14:paraId="7828D1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0.0716</w:t>
                  </w:r>
                </w:p>
              </w:tc>
              <w:tc>
                <w:tcPr>
                  <w:tcW w:w="482" w:type="pct"/>
                  <w:tcBorders>
                    <w:right w:val="nil"/>
                  </w:tcBorders>
                  <w:vAlign w:val="center"/>
                </w:tcPr>
                <w:p w14:paraId="038BB6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7FC6411D">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0F39BA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2</w:t>
                  </w:r>
                </w:p>
              </w:tc>
              <w:tc>
                <w:tcPr>
                  <w:tcW w:w="820" w:type="pct"/>
                  <w:vAlign w:val="center"/>
                </w:tcPr>
                <w:p w14:paraId="7402461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破碎、筛分</w:t>
                  </w:r>
                </w:p>
              </w:tc>
              <w:tc>
                <w:tcPr>
                  <w:tcW w:w="444" w:type="pct"/>
                  <w:vAlign w:val="center"/>
                </w:tcPr>
                <w:p w14:paraId="17DADD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244.2825</w:t>
                  </w:r>
                </w:p>
              </w:tc>
              <w:tc>
                <w:tcPr>
                  <w:tcW w:w="575" w:type="pct"/>
                  <w:tcBorders>
                    <w:right w:val="nil"/>
                  </w:tcBorders>
                  <w:vAlign w:val="center"/>
                </w:tcPr>
                <w:p w14:paraId="71881B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69.795</w:t>
                  </w:r>
                </w:p>
              </w:tc>
              <w:tc>
                <w:tcPr>
                  <w:tcW w:w="1500" w:type="pct"/>
                  <w:tcBorders>
                    <w:right w:val="nil"/>
                  </w:tcBorders>
                  <w:vAlign w:val="center"/>
                </w:tcPr>
                <w:p w14:paraId="1E2CD4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密闭厂房</w:t>
                  </w:r>
                  <w:r>
                    <w:rPr>
                      <w:rFonts w:hint="eastAsia" w:ascii="Times New Roman" w:hAnsi="Times New Roman" w:eastAsia="宋体"/>
                      <w:color w:val="000000" w:themeColor="text1"/>
                      <w:szCs w:val="21"/>
                      <w:highlight w:val="none"/>
                      <w:lang w:bidi="ar"/>
                      <w14:textFill>
                        <w14:solidFill>
                          <w14:schemeClr w14:val="tx1"/>
                        </w14:solidFill>
                      </w14:textFill>
                    </w:rPr>
                    <w:t>、湿法作业（粉尘产生效率减少21%）、</w:t>
                  </w:r>
                  <w:r>
                    <w:rPr>
                      <w:rFonts w:hint="eastAsia" w:ascii="Times New Roman" w:hAnsi="Times New Roman" w:eastAsia="宋体"/>
                      <w:color w:val="000000" w:themeColor="text1"/>
                      <w:szCs w:val="21"/>
                      <w:highlight w:val="none"/>
                      <w:lang w:eastAsia="zh-CN" w:bidi="ar"/>
                      <w14:textFill>
                        <w14:solidFill>
                          <w14:schemeClr w14:val="tx1"/>
                        </w14:solidFill>
                      </w14:textFill>
                    </w:rPr>
                    <w:t>雾炮机</w:t>
                  </w:r>
                  <w:r>
                    <w:rPr>
                      <w:rFonts w:hint="eastAsia" w:ascii="Times New Roman" w:hAnsi="Times New Roman" w:eastAsia="宋体"/>
                      <w:color w:val="000000" w:themeColor="text1"/>
                      <w:szCs w:val="21"/>
                      <w:highlight w:val="none"/>
                      <w:lang w:bidi="ar"/>
                      <w14:textFill>
                        <w14:solidFill>
                          <w14:schemeClr w14:val="tx1"/>
                        </w14:solidFill>
                      </w14:textFill>
                    </w:rPr>
                    <w:t>（</w:t>
                  </w:r>
                  <w:r>
                    <w:rPr>
                      <w:rFonts w:hint="eastAsia" w:ascii="Times New Roman" w:hAnsi="Times New Roman" w:eastAsia="宋体"/>
                      <w:color w:val="000000" w:themeColor="text1"/>
                      <w:szCs w:val="21"/>
                      <w:highlight w:val="none"/>
                      <w:lang w:eastAsia="zh-CN" w:bidi="ar"/>
                      <w14:textFill>
                        <w14:solidFill>
                          <w14:schemeClr w14:val="tx1"/>
                        </w14:solidFill>
                      </w14:textFill>
                    </w:rPr>
                    <w:t>综合</w:t>
                  </w:r>
                  <w:r>
                    <w:rPr>
                      <w:rFonts w:hint="eastAsia" w:ascii="Times New Roman" w:hAnsi="Times New Roman" w:eastAsia="宋体"/>
                      <w:color w:val="000000" w:themeColor="text1"/>
                      <w:szCs w:val="21"/>
                      <w:highlight w:val="none"/>
                      <w:lang w:bidi="ar"/>
                      <w14:textFill>
                        <w14:solidFill>
                          <w14:schemeClr w14:val="tx1"/>
                        </w14:solidFill>
                      </w14:textFill>
                    </w:rPr>
                    <w:t>除尘效率95.84%%）</w:t>
                  </w:r>
                </w:p>
              </w:tc>
              <w:tc>
                <w:tcPr>
                  <w:tcW w:w="468" w:type="pct"/>
                  <w:tcBorders>
                    <w:right w:val="nil"/>
                  </w:tcBorders>
                  <w:vAlign w:val="center"/>
                </w:tcPr>
                <w:p w14:paraId="684DE5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9.9386</w:t>
                  </w:r>
                </w:p>
              </w:tc>
              <w:tc>
                <w:tcPr>
                  <w:tcW w:w="548" w:type="pct"/>
                  <w:tcBorders>
                    <w:right w:val="nil"/>
                  </w:tcBorders>
                  <w:vAlign w:val="center"/>
                </w:tcPr>
                <w:p w14:paraId="592406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2.8396</w:t>
                  </w:r>
                </w:p>
              </w:tc>
              <w:tc>
                <w:tcPr>
                  <w:tcW w:w="482" w:type="pct"/>
                  <w:tcBorders>
                    <w:right w:val="nil"/>
                  </w:tcBorders>
                  <w:vAlign w:val="center"/>
                </w:tcPr>
                <w:p w14:paraId="04CC923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4CF28A5C">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04637B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3</w:t>
                  </w:r>
                </w:p>
              </w:tc>
              <w:tc>
                <w:tcPr>
                  <w:tcW w:w="820" w:type="pct"/>
                  <w:vAlign w:val="center"/>
                </w:tcPr>
                <w:p w14:paraId="1C9A15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骨料输送</w:t>
                  </w:r>
                </w:p>
              </w:tc>
              <w:tc>
                <w:tcPr>
                  <w:tcW w:w="444" w:type="pct"/>
                  <w:vAlign w:val="center"/>
                </w:tcPr>
                <w:p w14:paraId="4C5293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75" w:type="pct"/>
                  <w:tcBorders>
                    <w:right w:val="nil"/>
                  </w:tcBorders>
                  <w:vAlign w:val="center"/>
                </w:tcPr>
                <w:p w14:paraId="6683698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1500" w:type="pct"/>
                  <w:tcBorders>
                    <w:right w:val="nil"/>
                  </w:tcBorders>
                  <w:vAlign w:val="center"/>
                </w:tcPr>
                <w:p w14:paraId="6A25F5C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密闭的输送廊道，并在皮带输送进料口设置喷淋抑尘装置</w:t>
                  </w:r>
                </w:p>
              </w:tc>
              <w:tc>
                <w:tcPr>
                  <w:tcW w:w="468" w:type="pct"/>
                  <w:tcBorders>
                    <w:right w:val="nil"/>
                  </w:tcBorders>
                  <w:vAlign w:val="center"/>
                </w:tcPr>
                <w:p w14:paraId="281CEE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48" w:type="pct"/>
                  <w:tcBorders>
                    <w:right w:val="nil"/>
                  </w:tcBorders>
                  <w:vAlign w:val="center"/>
                </w:tcPr>
                <w:p w14:paraId="0EC7DB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482" w:type="pct"/>
                  <w:tcBorders>
                    <w:right w:val="nil"/>
                  </w:tcBorders>
                  <w:vAlign w:val="center"/>
                </w:tcPr>
                <w:p w14:paraId="45A5D1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578A3918">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Merge w:val="restart"/>
                  <w:vAlign w:val="center"/>
                </w:tcPr>
                <w:p w14:paraId="2C0787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4</w:t>
                  </w:r>
                </w:p>
              </w:tc>
              <w:tc>
                <w:tcPr>
                  <w:tcW w:w="820" w:type="pct"/>
                  <w:vAlign w:val="center"/>
                </w:tcPr>
                <w:p w14:paraId="51228F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拌和站</w:t>
                  </w:r>
                  <w:r>
                    <w:rPr>
                      <w:rFonts w:hint="eastAsia" w:ascii="Times New Roman" w:hAnsi="Times New Roman" w:eastAsia="宋体"/>
                      <w:color w:val="000000" w:themeColor="text1"/>
                      <w:szCs w:val="21"/>
                      <w:highlight w:val="none"/>
                      <w:lang w:bidi="ar"/>
                      <w14:textFill>
                        <w14:solidFill>
                          <w14:schemeClr w14:val="tx1"/>
                        </w14:solidFill>
                      </w14:textFill>
                    </w:rPr>
                    <w:t>储料罐呼吸口</w:t>
                  </w:r>
                </w:p>
              </w:tc>
              <w:tc>
                <w:tcPr>
                  <w:tcW w:w="444" w:type="pct"/>
                  <w:vAlign w:val="center"/>
                </w:tcPr>
                <w:p w14:paraId="21DE0B7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4.08</w:t>
                  </w:r>
                </w:p>
              </w:tc>
              <w:tc>
                <w:tcPr>
                  <w:tcW w:w="575" w:type="pct"/>
                  <w:tcBorders>
                    <w:right w:val="nil"/>
                  </w:tcBorders>
                  <w:vAlign w:val="center"/>
                </w:tcPr>
                <w:p w14:paraId="434EE22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1.1657</w:t>
                  </w:r>
                </w:p>
              </w:tc>
              <w:tc>
                <w:tcPr>
                  <w:tcW w:w="1500" w:type="pct"/>
                  <w:vMerge w:val="restart"/>
                  <w:tcBorders>
                    <w:right w:val="nil"/>
                  </w:tcBorders>
                  <w:vAlign w:val="center"/>
                </w:tcPr>
                <w:p w14:paraId="2501A2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筒仓放空口处安装自动衔接输料口</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w:t>
                  </w:r>
                  <w:r>
                    <w:rPr>
                      <w:rFonts w:hint="eastAsia" w:ascii="Times New Roman" w:hAnsi="Times New Roman" w:eastAsia="宋体"/>
                      <w:color w:val="000000" w:themeColor="text1"/>
                      <w:szCs w:val="21"/>
                      <w:highlight w:val="none"/>
                      <w:lang w:bidi="ar"/>
                      <w14:textFill>
                        <w14:solidFill>
                          <w14:schemeClr w14:val="tx1"/>
                        </w14:solidFill>
                      </w14:textFill>
                    </w:rPr>
                    <w:t>仓顶除尘器（处理效率99.5%）处理后无组织排放</w:t>
                  </w:r>
                </w:p>
              </w:tc>
              <w:tc>
                <w:tcPr>
                  <w:tcW w:w="468" w:type="pct"/>
                  <w:tcBorders>
                    <w:right w:val="nil"/>
                  </w:tcBorders>
                  <w:vAlign w:val="center"/>
                </w:tcPr>
                <w:p w14:paraId="20AE74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0.0204</w:t>
                  </w:r>
                </w:p>
              </w:tc>
              <w:tc>
                <w:tcPr>
                  <w:tcW w:w="548" w:type="pct"/>
                  <w:tcBorders>
                    <w:right w:val="nil"/>
                  </w:tcBorders>
                  <w:vAlign w:val="center"/>
                </w:tcPr>
                <w:p w14:paraId="11D8CCA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0.0058</w:t>
                  </w:r>
                </w:p>
              </w:tc>
              <w:tc>
                <w:tcPr>
                  <w:tcW w:w="482" w:type="pct"/>
                  <w:tcBorders>
                    <w:right w:val="nil"/>
                  </w:tcBorders>
                  <w:vAlign w:val="center"/>
                </w:tcPr>
                <w:p w14:paraId="271031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0FEA72E6">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Merge w:val="continue"/>
                  <w:vAlign w:val="center"/>
                </w:tcPr>
                <w:p w14:paraId="306B33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p>
              </w:tc>
              <w:tc>
                <w:tcPr>
                  <w:tcW w:w="820" w:type="pct"/>
                  <w:vAlign w:val="center"/>
                </w:tcPr>
                <w:p w14:paraId="1AC75B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水稳站</w:t>
                  </w:r>
                  <w:r>
                    <w:rPr>
                      <w:rFonts w:hint="eastAsia" w:ascii="Times New Roman" w:hAnsi="Times New Roman" w:eastAsia="宋体"/>
                      <w:color w:val="000000" w:themeColor="text1"/>
                      <w:szCs w:val="21"/>
                      <w:highlight w:val="none"/>
                      <w:lang w:bidi="ar"/>
                      <w14:textFill>
                        <w14:solidFill>
                          <w14:schemeClr w14:val="tx1"/>
                        </w14:solidFill>
                      </w14:textFill>
                    </w:rPr>
                    <w:t>储料罐呼吸口</w:t>
                  </w:r>
                </w:p>
              </w:tc>
              <w:tc>
                <w:tcPr>
                  <w:tcW w:w="444" w:type="pct"/>
                  <w:vAlign w:val="center"/>
                </w:tcPr>
                <w:p w14:paraId="0BFECB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1.8</w:t>
                  </w:r>
                </w:p>
              </w:tc>
              <w:tc>
                <w:tcPr>
                  <w:tcW w:w="575" w:type="pct"/>
                  <w:tcBorders>
                    <w:right w:val="nil"/>
                  </w:tcBorders>
                  <w:vAlign w:val="center"/>
                </w:tcPr>
                <w:p w14:paraId="5CEBB8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0.5143</w:t>
                  </w:r>
                </w:p>
              </w:tc>
              <w:tc>
                <w:tcPr>
                  <w:tcW w:w="1500" w:type="pct"/>
                  <w:vMerge w:val="continue"/>
                  <w:tcBorders>
                    <w:right w:val="nil"/>
                  </w:tcBorders>
                  <w:vAlign w:val="center"/>
                </w:tcPr>
                <w:p w14:paraId="3FF2A2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p>
              </w:tc>
              <w:tc>
                <w:tcPr>
                  <w:tcW w:w="468" w:type="pct"/>
                  <w:tcBorders>
                    <w:right w:val="nil"/>
                  </w:tcBorders>
                  <w:vAlign w:val="center"/>
                </w:tcPr>
                <w:p w14:paraId="004777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0.009</w:t>
                  </w:r>
                </w:p>
              </w:tc>
              <w:tc>
                <w:tcPr>
                  <w:tcW w:w="548" w:type="pct"/>
                  <w:tcBorders>
                    <w:right w:val="nil"/>
                  </w:tcBorders>
                  <w:vAlign w:val="center"/>
                </w:tcPr>
                <w:p w14:paraId="5E4D75F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0.0026</w:t>
                  </w:r>
                </w:p>
              </w:tc>
              <w:tc>
                <w:tcPr>
                  <w:tcW w:w="482" w:type="pct"/>
                  <w:tcBorders>
                    <w:right w:val="nil"/>
                  </w:tcBorders>
                  <w:vAlign w:val="center"/>
                </w:tcPr>
                <w:p w14:paraId="1597F03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2C6C25BE">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Merge w:val="restart"/>
                  <w:vAlign w:val="center"/>
                </w:tcPr>
                <w:p w14:paraId="0B0DBF0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5</w:t>
                  </w:r>
                </w:p>
              </w:tc>
              <w:tc>
                <w:tcPr>
                  <w:tcW w:w="820" w:type="pct"/>
                  <w:vAlign w:val="center"/>
                </w:tcPr>
                <w:p w14:paraId="6FA472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拌和站</w:t>
                  </w:r>
                  <w:r>
                    <w:rPr>
                      <w:rFonts w:hint="eastAsia" w:ascii="Times New Roman" w:hAnsi="Times New Roman" w:eastAsia="宋体"/>
                      <w:color w:val="000000" w:themeColor="text1"/>
                      <w:szCs w:val="21"/>
                      <w:highlight w:val="none"/>
                      <w:lang w:bidi="ar"/>
                      <w14:textFill>
                        <w14:solidFill>
                          <w14:schemeClr w14:val="tx1"/>
                        </w14:solidFill>
                      </w14:textFill>
                    </w:rPr>
                    <w:t>搅拌</w:t>
                  </w:r>
                  <w:r>
                    <w:rPr>
                      <w:rFonts w:hint="eastAsia" w:ascii="Times New Roman" w:hAnsi="Times New Roman" w:eastAsia="宋体"/>
                      <w:color w:val="000000" w:themeColor="text1"/>
                      <w:szCs w:val="21"/>
                      <w:highlight w:val="none"/>
                      <w:lang w:eastAsia="zh-CN" w:bidi="ar"/>
                      <w14:textFill>
                        <w14:solidFill>
                          <w14:schemeClr w14:val="tx1"/>
                        </w14:solidFill>
                      </w14:textFill>
                    </w:rPr>
                    <w:t>（含投料）粉尘</w:t>
                  </w:r>
                </w:p>
              </w:tc>
              <w:tc>
                <w:tcPr>
                  <w:tcW w:w="444" w:type="pct"/>
                  <w:vAlign w:val="center"/>
                </w:tcPr>
                <w:p w14:paraId="6C8305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31.2</w:t>
                  </w:r>
                </w:p>
              </w:tc>
              <w:tc>
                <w:tcPr>
                  <w:tcW w:w="575" w:type="pct"/>
                  <w:tcBorders>
                    <w:right w:val="nil"/>
                  </w:tcBorders>
                  <w:vAlign w:val="center"/>
                </w:tcPr>
                <w:p w14:paraId="3388FA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8.9143</w:t>
                  </w:r>
                </w:p>
              </w:tc>
              <w:tc>
                <w:tcPr>
                  <w:tcW w:w="1500" w:type="pct"/>
                  <w:vMerge w:val="restart"/>
                  <w:tcBorders>
                    <w:right w:val="nil"/>
                  </w:tcBorders>
                  <w:vAlign w:val="center"/>
                </w:tcPr>
                <w:p w14:paraId="138A4D2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密闭搅拌机，且位于密闭厂房内，搅拌系统配备一台</w:t>
                  </w:r>
                  <w:r>
                    <w:rPr>
                      <w:rFonts w:hint="eastAsia" w:ascii="Times New Roman" w:hAnsi="Times New Roman" w:eastAsia="宋体"/>
                      <w:color w:val="000000" w:themeColor="text1"/>
                      <w:szCs w:val="21"/>
                      <w:highlight w:val="none"/>
                      <w:lang w:bidi="ar"/>
                      <w14:textFill>
                        <w14:solidFill>
                          <w14:schemeClr w14:val="tx1"/>
                        </w14:solidFill>
                      </w14:textFill>
                    </w:rPr>
                    <w:t>布袋</w:t>
                  </w:r>
                  <w:r>
                    <w:rPr>
                      <w:rFonts w:ascii="Times New Roman" w:hAnsi="Times New Roman" w:eastAsia="宋体"/>
                      <w:color w:val="000000" w:themeColor="text1"/>
                      <w:szCs w:val="21"/>
                      <w:highlight w:val="none"/>
                      <w:lang w:bidi="ar"/>
                      <w14:textFill>
                        <w14:solidFill>
                          <w14:schemeClr w14:val="tx1"/>
                        </w14:solidFill>
                      </w14:textFill>
                    </w:rPr>
                    <w:t>除尘器</w:t>
                  </w:r>
                  <w:r>
                    <w:rPr>
                      <w:rFonts w:hint="eastAsia" w:ascii="Times New Roman" w:hAnsi="Times New Roman" w:eastAsia="宋体"/>
                      <w:color w:val="000000" w:themeColor="text1"/>
                      <w:szCs w:val="21"/>
                      <w:highlight w:val="none"/>
                      <w:lang w:bidi="ar"/>
                      <w14:textFill>
                        <w14:solidFill>
                          <w14:schemeClr w14:val="tx1"/>
                        </w14:solidFill>
                      </w14:textFill>
                    </w:rPr>
                    <w:t>（收集效率100%，除尘效率9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w:t>
                  </w:r>
                  <w:r>
                    <w:rPr>
                      <w:rFonts w:hint="eastAsia" w:ascii="Times New Roman" w:hAnsi="Times New Roman" w:eastAsia="宋体"/>
                      <w:color w:val="000000" w:themeColor="text1"/>
                      <w:szCs w:val="21"/>
                      <w:highlight w:val="none"/>
                      <w:lang w:bidi="ar"/>
                      <w14:textFill>
                        <w14:solidFill>
                          <w14:schemeClr w14:val="tx1"/>
                        </w14:solidFill>
                      </w14:textFill>
                    </w:rPr>
                    <w:t>%），同时，在</w:t>
                  </w:r>
                  <w:r>
                    <w:rPr>
                      <w:rFonts w:hint="eastAsia" w:ascii="Times New Roman" w:hAnsi="Times New Roman" w:eastAsia="宋体"/>
                      <w:color w:val="000000" w:themeColor="text1"/>
                      <w:szCs w:val="21"/>
                      <w:highlight w:val="none"/>
                      <w:lang w:eastAsia="zh-CN" w:bidi="ar"/>
                      <w14:textFill>
                        <w14:solidFill>
                          <w14:schemeClr w14:val="tx1"/>
                        </w14:solidFill>
                      </w14:textFill>
                    </w:rPr>
                    <w:t>搅拌楼内安装</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洒水降尘（除尘效率70%）</w:t>
                  </w:r>
                </w:p>
              </w:tc>
              <w:tc>
                <w:tcPr>
                  <w:tcW w:w="468" w:type="pct"/>
                  <w:tcBorders>
                    <w:right w:val="nil"/>
                  </w:tcBorders>
                  <w:vAlign w:val="center"/>
                </w:tcPr>
                <w:p w14:paraId="7D250E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0.0936</w:t>
                  </w:r>
                </w:p>
              </w:tc>
              <w:tc>
                <w:tcPr>
                  <w:tcW w:w="548" w:type="pct"/>
                  <w:tcBorders>
                    <w:right w:val="nil"/>
                  </w:tcBorders>
                  <w:vAlign w:val="center"/>
                </w:tcPr>
                <w:p w14:paraId="3AE615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0.0267</w:t>
                  </w:r>
                </w:p>
              </w:tc>
              <w:tc>
                <w:tcPr>
                  <w:tcW w:w="482" w:type="pct"/>
                  <w:tcBorders>
                    <w:right w:val="nil"/>
                  </w:tcBorders>
                  <w:vAlign w:val="center"/>
                </w:tcPr>
                <w:p w14:paraId="3197B1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011AC704">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Merge w:val="continue"/>
                  <w:vAlign w:val="center"/>
                </w:tcPr>
                <w:p w14:paraId="2DB1A8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p>
              </w:tc>
              <w:tc>
                <w:tcPr>
                  <w:tcW w:w="820" w:type="pct"/>
                  <w:vAlign w:val="center"/>
                </w:tcPr>
                <w:p w14:paraId="022E42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水稳站</w:t>
                  </w:r>
                  <w:r>
                    <w:rPr>
                      <w:rFonts w:hint="eastAsia" w:ascii="Times New Roman" w:hAnsi="Times New Roman" w:eastAsia="宋体"/>
                      <w:color w:val="000000" w:themeColor="text1"/>
                      <w:szCs w:val="21"/>
                      <w:highlight w:val="none"/>
                      <w:lang w:bidi="ar"/>
                      <w14:textFill>
                        <w14:solidFill>
                          <w14:schemeClr w14:val="tx1"/>
                        </w14:solidFill>
                      </w14:textFill>
                    </w:rPr>
                    <w:t>搅拌</w:t>
                  </w:r>
                  <w:r>
                    <w:rPr>
                      <w:rFonts w:hint="eastAsia" w:ascii="Times New Roman" w:hAnsi="Times New Roman" w:eastAsia="宋体"/>
                      <w:color w:val="000000" w:themeColor="text1"/>
                      <w:szCs w:val="21"/>
                      <w:highlight w:val="none"/>
                      <w:lang w:eastAsia="zh-CN" w:bidi="ar"/>
                      <w14:textFill>
                        <w14:solidFill>
                          <w14:schemeClr w14:val="tx1"/>
                        </w14:solidFill>
                      </w14:textFill>
                    </w:rPr>
                    <w:t>（含投料）粉尘</w:t>
                  </w:r>
                </w:p>
              </w:tc>
              <w:tc>
                <w:tcPr>
                  <w:tcW w:w="444" w:type="pct"/>
                  <w:vAlign w:val="center"/>
                </w:tcPr>
                <w:p w14:paraId="60BE67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22.6304</w:t>
                  </w:r>
                </w:p>
              </w:tc>
              <w:tc>
                <w:tcPr>
                  <w:tcW w:w="575" w:type="pct"/>
                  <w:tcBorders>
                    <w:right w:val="nil"/>
                  </w:tcBorders>
                  <w:vAlign w:val="center"/>
                </w:tcPr>
                <w:p w14:paraId="2AE174A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6.4658</w:t>
                  </w:r>
                </w:p>
              </w:tc>
              <w:tc>
                <w:tcPr>
                  <w:tcW w:w="1500" w:type="pct"/>
                  <w:vMerge w:val="continue"/>
                  <w:tcBorders>
                    <w:right w:val="nil"/>
                  </w:tcBorders>
                  <w:vAlign w:val="center"/>
                </w:tcPr>
                <w:p w14:paraId="19BC038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p>
              </w:tc>
              <w:tc>
                <w:tcPr>
                  <w:tcW w:w="468" w:type="pct"/>
                  <w:tcBorders>
                    <w:right w:val="nil"/>
                  </w:tcBorders>
                  <w:vAlign w:val="center"/>
                </w:tcPr>
                <w:p w14:paraId="2B2545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0.0679</w:t>
                  </w:r>
                </w:p>
              </w:tc>
              <w:tc>
                <w:tcPr>
                  <w:tcW w:w="548" w:type="pct"/>
                  <w:tcBorders>
                    <w:right w:val="nil"/>
                  </w:tcBorders>
                  <w:vAlign w:val="center"/>
                </w:tcPr>
                <w:p w14:paraId="143226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0.0194</w:t>
                  </w:r>
                </w:p>
              </w:tc>
              <w:tc>
                <w:tcPr>
                  <w:tcW w:w="482" w:type="pct"/>
                  <w:tcBorders>
                    <w:right w:val="nil"/>
                  </w:tcBorders>
                  <w:vAlign w:val="center"/>
                </w:tcPr>
                <w:p w14:paraId="40E17F9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73027632">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2CA390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6</w:t>
                  </w:r>
                </w:p>
              </w:tc>
              <w:tc>
                <w:tcPr>
                  <w:tcW w:w="820" w:type="pct"/>
                  <w:vAlign w:val="center"/>
                </w:tcPr>
                <w:p w14:paraId="56594D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焊接烟尘</w:t>
                  </w:r>
                </w:p>
              </w:tc>
              <w:tc>
                <w:tcPr>
                  <w:tcW w:w="444" w:type="pct"/>
                  <w:vAlign w:val="center"/>
                </w:tcPr>
                <w:p w14:paraId="2CD1F9F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0.1212</w:t>
                  </w:r>
                </w:p>
              </w:tc>
              <w:tc>
                <w:tcPr>
                  <w:tcW w:w="575" w:type="pct"/>
                  <w:tcBorders>
                    <w:right w:val="nil"/>
                  </w:tcBorders>
                  <w:vAlign w:val="center"/>
                </w:tcPr>
                <w:p w14:paraId="154FE8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0.0346</w:t>
                  </w:r>
                </w:p>
              </w:tc>
              <w:tc>
                <w:tcPr>
                  <w:tcW w:w="1500" w:type="pct"/>
                  <w:tcBorders>
                    <w:right w:val="nil"/>
                  </w:tcBorders>
                  <w:vAlign w:val="center"/>
                </w:tcPr>
                <w:p w14:paraId="23B104A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2</w:t>
                  </w:r>
                  <w:r>
                    <w:rPr>
                      <w:rFonts w:hint="eastAsia" w:ascii="Times New Roman" w:hAnsi="Times New Roman" w:eastAsia="宋体"/>
                      <w:color w:val="000000" w:themeColor="text1"/>
                      <w:szCs w:val="21"/>
                      <w:highlight w:val="none"/>
                      <w:lang w:bidi="ar"/>
                      <w14:textFill>
                        <w14:solidFill>
                          <w14:schemeClr w14:val="tx1"/>
                        </w14:solidFill>
                      </w14:textFill>
                    </w:rPr>
                    <w:t>台移动式焊烟净化器（收集效率80%，处理效率9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r>
                    <w:rPr>
                      <w:rFonts w:hint="eastAsia" w:ascii="Times New Roman" w:hAnsi="Times New Roman" w:eastAsia="宋体"/>
                      <w:color w:val="000000" w:themeColor="text1"/>
                      <w:szCs w:val="21"/>
                      <w:highlight w:val="none"/>
                      <w:lang w:bidi="ar"/>
                      <w14:textFill>
                        <w14:solidFill>
                          <w14:schemeClr w14:val="tx1"/>
                        </w14:solidFill>
                      </w14:textFill>
                    </w:rPr>
                    <w:t>%）处理后排放</w:t>
                  </w:r>
                </w:p>
              </w:tc>
              <w:tc>
                <w:tcPr>
                  <w:tcW w:w="468" w:type="pct"/>
                  <w:tcBorders>
                    <w:right w:val="nil"/>
                  </w:tcBorders>
                  <w:vAlign w:val="center"/>
                </w:tcPr>
                <w:p w14:paraId="4BB2AB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0.0291</w:t>
                  </w:r>
                </w:p>
              </w:tc>
              <w:tc>
                <w:tcPr>
                  <w:tcW w:w="548" w:type="pct"/>
                  <w:tcBorders>
                    <w:right w:val="nil"/>
                  </w:tcBorders>
                  <w:vAlign w:val="center"/>
                </w:tcPr>
                <w:p w14:paraId="3B7A22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0.0083</w:t>
                  </w:r>
                </w:p>
              </w:tc>
              <w:tc>
                <w:tcPr>
                  <w:tcW w:w="482" w:type="pct"/>
                  <w:tcBorders>
                    <w:right w:val="nil"/>
                  </w:tcBorders>
                  <w:vAlign w:val="center"/>
                </w:tcPr>
                <w:p w14:paraId="18CBBB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72A62197">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582B95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7</w:t>
                  </w:r>
                </w:p>
              </w:tc>
              <w:tc>
                <w:tcPr>
                  <w:tcW w:w="820" w:type="pct"/>
                  <w:vAlign w:val="center"/>
                </w:tcPr>
                <w:p w14:paraId="53F7D55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汽车运输扬尘</w:t>
                  </w:r>
                </w:p>
              </w:tc>
              <w:tc>
                <w:tcPr>
                  <w:tcW w:w="444" w:type="pct"/>
                  <w:vAlign w:val="center"/>
                </w:tcPr>
                <w:p w14:paraId="5751C8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44.2767</w:t>
                  </w:r>
                </w:p>
              </w:tc>
              <w:tc>
                <w:tcPr>
                  <w:tcW w:w="575" w:type="pct"/>
                  <w:tcBorders>
                    <w:right w:val="nil"/>
                  </w:tcBorders>
                  <w:vAlign w:val="center"/>
                </w:tcPr>
                <w:p w14:paraId="12E9FCD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12.6505</w:t>
                  </w:r>
                </w:p>
              </w:tc>
              <w:tc>
                <w:tcPr>
                  <w:tcW w:w="1500" w:type="pct"/>
                  <w:tcBorders>
                    <w:right w:val="nil"/>
                  </w:tcBorders>
                  <w:vAlign w:val="center"/>
                </w:tcPr>
                <w:p w14:paraId="6E2272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地面硬化、运</w:t>
                  </w:r>
                  <w:r>
                    <w:rPr>
                      <w:rFonts w:hint="eastAsia" w:ascii="Times New Roman" w:hAnsi="Times New Roman" w:eastAsia="宋体"/>
                      <w:color w:val="000000" w:themeColor="text1"/>
                      <w:szCs w:val="21"/>
                      <w:highlight w:val="none"/>
                      <w:lang w:bidi="ar"/>
                      <w14:textFill>
                        <w14:solidFill>
                          <w14:schemeClr w14:val="tx1"/>
                        </w14:solidFill>
                      </w14:textFill>
                    </w:rPr>
                    <w:t>输车辆采用篷布进行遮蔽处理，控制装载量，禁止裸露、冒尖或超载运输，洒水降尘（除尘效率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85</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468" w:type="pct"/>
                  <w:tcBorders>
                    <w:right w:val="nil"/>
                  </w:tcBorders>
                  <w:vAlign w:val="center"/>
                </w:tcPr>
                <w:p w14:paraId="480E93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6.6415</w:t>
                  </w:r>
                </w:p>
              </w:tc>
              <w:tc>
                <w:tcPr>
                  <w:tcW w:w="548" w:type="pct"/>
                  <w:tcBorders>
                    <w:right w:val="nil"/>
                  </w:tcBorders>
                  <w:vAlign w:val="center"/>
                </w:tcPr>
                <w:p w14:paraId="767BCBA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1.8976</w:t>
                  </w:r>
                </w:p>
              </w:tc>
              <w:tc>
                <w:tcPr>
                  <w:tcW w:w="482" w:type="pct"/>
                  <w:tcBorders>
                    <w:right w:val="nil"/>
                  </w:tcBorders>
                  <w:vAlign w:val="center"/>
                </w:tcPr>
                <w:p w14:paraId="0A8EF9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1E0C40EB">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81" w:type="pct"/>
                  <w:gridSpan w:val="2"/>
                  <w:vAlign w:val="center"/>
                </w:tcPr>
                <w:p w14:paraId="4C8EDE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合计</w:t>
                  </w:r>
                </w:p>
              </w:tc>
              <w:tc>
                <w:tcPr>
                  <w:tcW w:w="444" w:type="pct"/>
                  <w:vAlign w:val="center"/>
                </w:tcPr>
                <w:p w14:paraId="35FFE43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392.8765</w:t>
                  </w:r>
                </w:p>
              </w:tc>
              <w:tc>
                <w:tcPr>
                  <w:tcW w:w="575" w:type="pct"/>
                  <w:tcBorders>
                    <w:right w:val="nil"/>
                  </w:tcBorders>
                  <w:vAlign w:val="center"/>
                </w:tcPr>
                <w:p w14:paraId="43BD3E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112.2504</w:t>
                  </w:r>
                </w:p>
              </w:tc>
              <w:tc>
                <w:tcPr>
                  <w:tcW w:w="1500" w:type="pct"/>
                  <w:tcBorders>
                    <w:right w:val="nil"/>
                  </w:tcBorders>
                  <w:vAlign w:val="center"/>
                </w:tcPr>
                <w:p w14:paraId="3BD181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合计</w:t>
                  </w:r>
                </w:p>
              </w:tc>
              <w:tc>
                <w:tcPr>
                  <w:tcW w:w="468" w:type="pct"/>
                  <w:tcBorders>
                    <w:right w:val="nil"/>
                  </w:tcBorders>
                  <w:vAlign w:val="center"/>
                </w:tcPr>
                <w:p w14:paraId="61DD7E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17.0506</w:t>
                  </w:r>
                </w:p>
              </w:tc>
              <w:tc>
                <w:tcPr>
                  <w:tcW w:w="548" w:type="pct"/>
                  <w:tcBorders>
                    <w:right w:val="nil"/>
                  </w:tcBorders>
                  <w:vAlign w:val="center"/>
                </w:tcPr>
                <w:p w14:paraId="3F33EF8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b/>
                      <w:bCs/>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b/>
                      <w:bCs/>
                      <w:color w:val="000000" w:themeColor="text1"/>
                      <w:szCs w:val="21"/>
                      <w:highlight w:val="none"/>
                      <w:lang w:val="en-US" w:eastAsia="zh-CN" w:bidi="ar"/>
                      <w14:textFill>
                        <w14:solidFill>
                          <w14:schemeClr w14:val="tx1"/>
                        </w14:solidFill>
                      </w14:textFill>
                    </w:rPr>
                    <w:t>4.8716</w:t>
                  </w:r>
                </w:p>
              </w:tc>
              <w:tc>
                <w:tcPr>
                  <w:tcW w:w="482" w:type="pct"/>
                  <w:tcBorders>
                    <w:right w:val="nil"/>
                  </w:tcBorders>
                  <w:vAlign w:val="center"/>
                </w:tcPr>
                <w:p w14:paraId="1FE984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lang w:bidi="ar"/>
                      <w14:textFill>
                        <w14:solidFill>
                          <w14:schemeClr w14:val="tx1"/>
                        </w14:solidFill>
                      </w14:textFill>
                    </w:rPr>
                  </w:pPr>
                  <w:r>
                    <w:rPr>
                      <w:rFonts w:hint="eastAsia" w:ascii="Times New Roman" w:hAnsi="Times New Roman" w:eastAsia="宋体"/>
                      <w:b/>
                      <w:bCs/>
                      <w:color w:val="000000" w:themeColor="text1"/>
                      <w:szCs w:val="21"/>
                      <w:highlight w:val="none"/>
                      <w:lang w:bidi="ar"/>
                      <w14:textFill>
                        <w14:solidFill>
                          <w14:schemeClr w14:val="tx1"/>
                        </w14:solidFill>
                      </w14:textFill>
                    </w:rPr>
                    <w:t>/</w:t>
                  </w:r>
                </w:p>
              </w:tc>
            </w:tr>
            <w:tr w14:paraId="6EEEFB9B">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108636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8</w:t>
                  </w:r>
                </w:p>
              </w:tc>
              <w:tc>
                <w:tcPr>
                  <w:tcW w:w="820" w:type="pct"/>
                  <w:vAlign w:val="center"/>
                </w:tcPr>
                <w:p w14:paraId="2D34D8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汽车尾气</w:t>
                  </w:r>
                </w:p>
              </w:tc>
              <w:tc>
                <w:tcPr>
                  <w:tcW w:w="444" w:type="pct"/>
                  <w:vAlign w:val="center"/>
                </w:tcPr>
                <w:p w14:paraId="4E89C2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75" w:type="pct"/>
                  <w:tcBorders>
                    <w:right w:val="nil"/>
                  </w:tcBorders>
                  <w:vAlign w:val="center"/>
                </w:tcPr>
                <w:p w14:paraId="0C4FCA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1500" w:type="pct"/>
                  <w:tcBorders>
                    <w:right w:val="nil"/>
                  </w:tcBorders>
                  <w:vAlign w:val="center"/>
                </w:tcPr>
                <w:p w14:paraId="20531B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自然扩散</w:t>
                  </w:r>
                </w:p>
              </w:tc>
              <w:tc>
                <w:tcPr>
                  <w:tcW w:w="468" w:type="pct"/>
                  <w:tcBorders>
                    <w:right w:val="nil"/>
                  </w:tcBorders>
                  <w:vAlign w:val="center"/>
                </w:tcPr>
                <w:p w14:paraId="5D7CD2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48" w:type="pct"/>
                  <w:tcBorders>
                    <w:right w:val="nil"/>
                  </w:tcBorders>
                  <w:vAlign w:val="center"/>
                </w:tcPr>
                <w:p w14:paraId="75610D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482" w:type="pct"/>
                  <w:tcBorders>
                    <w:right w:val="nil"/>
                  </w:tcBorders>
                  <w:vAlign w:val="center"/>
                </w:tcPr>
                <w:p w14:paraId="2C3C37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2414D1AA">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295E8AB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9</w:t>
                  </w:r>
                </w:p>
              </w:tc>
              <w:tc>
                <w:tcPr>
                  <w:tcW w:w="820" w:type="pct"/>
                  <w:vAlign w:val="center"/>
                </w:tcPr>
                <w:p w14:paraId="5878421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食堂油烟</w:t>
                  </w:r>
                </w:p>
              </w:tc>
              <w:tc>
                <w:tcPr>
                  <w:tcW w:w="444" w:type="pct"/>
                  <w:vAlign w:val="center"/>
                </w:tcPr>
                <w:p w14:paraId="4681DE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0.0504</w:t>
                  </w:r>
                </w:p>
              </w:tc>
              <w:tc>
                <w:tcPr>
                  <w:tcW w:w="575" w:type="pct"/>
                  <w:tcBorders>
                    <w:right w:val="nil"/>
                  </w:tcBorders>
                  <w:vAlign w:val="center"/>
                </w:tcPr>
                <w:p w14:paraId="0DFE11E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0.0288</w:t>
                  </w:r>
                </w:p>
              </w:tc>
              <w:tc>
                <w:tcPr>
                  <w:tcW w:w="1500" w:type="pct"/>
                  <w:tcBorders>
                    <w:right w:val="nil"/>
                  </w:tcBorders>
                  <w:vAlign w:val="center"/>
                </w:tcPr>
                <w:p w14:paraId="454F45F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设置3台油烟净化器对油烟进行净化处理，净化效率约为75%，通过排烟管道引至屋顶高空排放</w:t>
                  </w:r>
                </w:p>
              </w:tc>
              <w:tc>
                <w:tcPr>
                  <w:tcW w:w="468" w:type="pct"/>
                  <w:tcBorders>
                    <w:right w:val="nil"/>
                  </w:tcBorders>
                  <w:vAlign w:val="center"/>
                </w:tcPr>
                <w:p w14:paraId="27017F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0.0126</w:t>
                  </w:r>
                </w:p>
              </w:tc>
              <w:tc>
                <w:tcPr>
                  <w:tcW w:w="548" w:type="pct"/>
                  <w:tcBorders>
                    <w:right w:val="nil"/>
                  </w:tcBorders>
                  <w:vAlign w:val="center"/>
                </w:tcPr>
                <w:p w14:paraId="2DA320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0.0036</w:t>
                  </w:r>
                </w:p>
              </w:tc>
              <w:tc>
                <w:tcPr>
                  <w:tcW w:w="482" w:type="pct"/>
                  <w:tcBorders>
                    <w:right w:val="nil"/>
                  </w:tcBorders>
                  <w:vAlign w:val="center"/>
                </w:tcPr>
                <w:p w14:paraId="23FDAF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r w14:paraId="54600E03">
              <w:tblPrEx>
                <w:tblBorders>
                  <w:top w:val="single" w:color="auto" w:sz="4" w:space="0"/>
                  <w:left w:val="none" w:color="auto" w:sz="0"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1" w:type="pct"/>
                  <w:vAlign w:val="center"/>
                </w:tcPr>
                <w:p w14:paraId="3DE7F58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10</w:t>
                  </w:r>
                </w:p>
              </w:tc>
              <w:tc>
                <w:tcPr>
                  <w:tcW w:w="820" w:type="pct"/>
                  <w:vAlign w:val="center"/>
                </w:tcPr>
                <w:p w14:paraId="519E87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备用发电机</w:t>
                  </w:r>
                </w:p>
              </w:tc>
              <w:tc>
                <w:tcPr>
                  <w:tcW w:w="444" w:type="pct"/>
                  <w:vAlign w:val="center"/>
                </w:tcPr>
                <w:p w14:paraId="60BE2C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75" w:type="pct"/>
                  <w:tcBorders>
                    <w:right w:val="nil"/>
                  </w:tcBorders>
                  <w:vAlign w:val="center"/>
                </w:tcPr>
                <w:p w14:paraId="6FBAE9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1500" w:type="pct"/>
                  <w:tcBorders>
                    <w:right w:val="nil"/>
                  </w:tcBorders>
                  <w:vAlign w:val="center"/>
                </w:tcPr>
                <w:p w14:paraId="21D9F4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发电机自带消烟除尘处理，燃油废气经排风系统收集后经</w:t>
                  </w:r>
                  <w:r>
                    <w:rPr>
                      <w:rFonts w:hint="eastAsia" w:ascii="Times New Roman" w:hAnsi="Times New Roman" w:eastAsia="宋体"/>
                      <w:color w:val="000000" w:themeColor="text1"/>
                      <w:szCs w:val="21"/>
                      <w:highlight w:val="none"/>
                      <w:lang w:eastAsia="zh-CN" w:bidi="ar"/>
                      <w14:textFill>
                        <w14:solidFill>
                          <w14:schemeClr w14:val="tx1"/>
                        </w14:solidFill>
                      </w14:textFill>
                    </w:rPr>
                    <w:t>专用烟道排放</w:t>
                  </w:r>
                </w:p>
              </w:tc>
              <w:tc>
                <w:tcPr>
                  <w:tcW w:w="468" w:type="pct"/>
                  <w:tcBorders>
                    <w:right w:val="nil"/>
                  </w:tcBorders>
                  <w:vAlign w:val="center"/>
                </w:tcPr>
                <w:p w14:paraId="0445AE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548" w:type="pct"/>
                  <w:tcBorders>
                    <w:right w:val="nil"/>
                  </w:tcBorders>
                  <w:vAlign w:val="center"/>
                </w:tcPr>
                <w:p w14:paraId="6D1E2A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较少</w:t>
                  </w:r>
                </w:p>
              </w:tc>
              <w:tc>
                <w:tcPr>
                  <w:tcW w:w="482" w:type="pct"/>
                  <w:tcBorders>
                    <w:right w:val="nil"/>
                  </w:tcBorders>
                  <w:vAlign w:val="center"/>
                </w:tcPr>
                <w:p w14:paraId="7591C3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无组织</w:t>
                  </w:r>
                </w:p>
              </w:tc>
            </w:tr>
          </w:tbl>
          <w:p w14:paraId="0690985C">
            <w:pPr>
              <w:pStyle w:val="2"/>
              <w:rPr>
                <w:color w:val="000000" w:themeColor="text1"/>
                <w:highlight w:val="none"/>
                <w14:textFill>
                  <w14:solidFill>
                    <w14:schemeClr w14:val="tx1"/>
                  </w14:solidFill>
                </w14:textFill>
              </w:rPr>
            </w:pPr>
          </w:p>
        </w:tc>
      </w:tr>
    </w:tbl>
    <w:p w14:paraId="792A2C73">
      <w:pPr>
        <w:pStyle w:val="2"/>
        <w:ind w:left="0" w:leftChars="0"/>
        <w:rPr>
          <w:color w:val="000000" w:themeColor="text1"/>
          <w:highlight w:val="none"/>
          <w14:textFill>
            <w14:solidFill>
              <w14:schemeClr w14:val="tx1"/>
            </w14:solidFill>
          </w14:textFill>
        </w:rPr>
        <w:sectPr>
          <w:pgSz w:w="16838" w:h="11906" w:orient="landscape"/>
          <w:pgMar w:top="1474" w:right="1417" w:bottom="1474" w:left="1417"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6"/>
        <w:gridCol w:w="8158"/>
      </w:tblGrid>
      <w:tr w14:paraId="73898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 w:type="pct"/>
            <w:vAlign w:val="center"/>
          </w:tcPr>
          <w:p w14:paraId="2C31DD4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color w:val="000000" w:themeColor="text1"/>
                <w:highlight w:val="none"/>
                <w14:textFill>
                  <w14:solidFill>
                    <w14:schemeClr w14:val="tx1"/>
                  </w14:solidFill>
                </w14:textFill>
              </w:rPr>
            </w:pPr>
            <w:r>
              <w:rPr>
                <w:rFonts w:hint="eastAsia" w:ascii="Times New Roman" w:hAnsi="Times New Roman" w:eastAsia="宋体"/>
                <w:bCs/>
                <w:color w:val="000000" w:themeColor="text1"/>
                <w:spacing w:val="10"/>
                <w:sz w:val="24"/>
                <w:szCs w:val="21"/>
                <w:highlight w:val="none"/>
                <w14:textFill>
                  <w14:solidFill>
                    <w14:schemeClr w14:val="tx1"/>
                  </w14:solidFill>
                </w14:textFill>
              </w:rPr>
              <w:t>运营期环境影响和保护措施</w:t>
            </w:r>
          </w:p>
        </w:tc>
        <w:tc>
          <w:tcPr>
            <w:tcW w:w="4015" w:type="pct"/>
          </w:tcPr>
          <w:p w14:paraId="59A2EC7B">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1</w:t>
            </w:r>
            <w:r>
              <w:rPr>
                <w:rFonts w:hint="eastAsia"/>
                <w:b/>
                <w:bCs/>
                <w:color w:val="000000" w:themeColor="text1"/>
                <w:sz w:val="24"/>
                <w:szCs w:val="24"/>
                <w:highlight w:val="none"/>
                <w14:textFill>
                  <w14:solidFill>
                    <w14:schemeClr w14:val="tx1"/>
                  </w14:solidFill>
                </w14:textFill>
              </w:rPr>
              <w:t>、废气治理措施可行性分析</w:t>
            </w:r>
          </w:p>
          <w:p w14:paraId="77696D6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（1）仓顶除尘器</w:t>
            </w:r>
          </w:p>
          <w:p w14:paraId="72F2B2C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仓顶除尘器筒述仓顶除尘器是一种用在料仓顶部的除尘设备。广泛用于过滤气体中细小的，非纤维性的干燥粉尘或在工艺流程中回收干燥粉料的一种除尘设备。通过布袋将料仓内漂浮的粉尘颗粒隔离开，并将干净的空气排放到大气中，以此来保护环境。仓顶除尘器工作原理含尘气体由进风口进入除尘器箱体内，细小尘粒由于布袋的多种效应作用，被滞阻在布袋外壁。净化后的气体通过布袋上箱体出风口排出。随着使用时间的增长，布袋表面吸附的粉尘增多，布袋的透气性减弱，使除尘器阻力不断增大。为保证除尘器的阻力控制在限定的范围之内，由脉冲控制仪发出信号，循序打开电磁脉冲阀，使气包内的压缩空气由喷吹管各喷孔喷射到对应的文氏管（称为一次风），并在高速气流通过文氏管时诱导数倍于一次风的周围空气（称为二次风）进入滤筒，造成布袋急剧膨胀，由于反向脉冲气流的冲击作用很快消失，布袋又急剧收缩，这样使积附在布袋外壁上的粉尘被清除，落下的灰尘进入灰库。</w:t>
            </w:r>
          </w:p>
          <w:p w14:paraId="2D393FD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（2）移动式焊烟净化器</w:t>
            </w:r>
          </w:p>
          <w:p w14:paraId="250AB33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焊烟通过风机引力作用，经万向集尘罩吸入设备进风口，设备进风口处设有阻火器，火花经阻火器被阻留；烟尘气体进入沉降室，利用重力与上行气流，将粗粒尘直接降至沉灰抽屉，微粒烟尘被滤芯捕集在外表面；洁净气体经滤芯过滤净化后，经出风口达标排出。对颗粒物（焊接烟尘）效率9</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w:t>
            </w:r>
          </w:p>
          <w:p w14:paraId="093BB0E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本项目颗粒物均为无组织排放，根据据《排污许可证申请与核发技术规范 水泥工业》（HJ847-2017）中无组织控制要求：重点地区粉状物料全部密闭储存、其他物料全部封闭储存，封闭式皮带、斗提、斜槽运输，粉煤灰采用密闭罐车运输，下料口应设置集尘罩并配量高效袋式除尘器</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库顶等泄压口配备高效蜓式除尘器。</w:t>
            </w:r>
          </w:p>
          <w:p w14:paraId="6FAC546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本项目粉料采用罐车运输，直接储存于筒仓，筒仓泄压口设有脉冲袋式除尘器；砂和石子储存于封闭的室内同时配套喷雾系统，采用封闭式皮带运输，搅拌楼设置仓顶除尘器，《排污许可证申请与核发技术规范 水泥工业》（HJ847-2017）中无组织控制要求，污染治理措施可行。</w:t>
            </w:r>
          </w:p>
          <w:p w14:paraId="1F83DD1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2</w:t>
            </w:r>
            <w:r>
              <w:rPr>
                <w:rFonts w:hint="eastAsia"/>
                <w:b/>
                <w:bCs/>
                <w:color w:val="000000" w:themeColor="text1"/>
                <w:sz w:val="24"/>
                <w:szCs w:val="24"/>
                <w:highlight w:val="none"/>
                <w14:textFill>
                  <w14:solidFill>
                    <w14:schemeClr w14:val="tx1"/>
                  </w14:solidFill>
                </w14:textFill>
              </w:rPr>
              <w:t>、</w:t>
            </w:r>
            <w:r>
              <w:rPr>
                <w:rFonts w:hint="eastAsia"/>
                <w:b/>
                <w:bCs/>
                <w:color w:val="000000" w:themeColor="text1"/>
                <w:sz w:val="24"/>
                <w:szCs w:val="24"/>
                <w:highlight w:val="none"/>
                <w:lang w:eastAsia="zh-CN"/>
                <w14:textFill>
                  <w14:solidFill>
                    <w14:schemeClr w14:val="tx1"/>
                  </w14:solidFill>
                </w14:textFill>
              </w:rPr>
              <w:t>大气监测计划</w:t>
            </w:r>
          </w:p>
          <w:p w14:paraId="69BFFE0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根据《排污单位自行监测技术指南 总则》（HJ819</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-2017</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）文件要求，项目投产后，企业应定期委托组织具有监测资质的单位开展废气监测。项目废气监测要求具体如下表所示。</w:t>
            </w:r>
          </w:p>
          <w:p w14:paraId="11040D7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b/>
                <w:color w:val="000000" w:themeColor="text1"/>
                <w:szCs w:val="21"/>
                <w:highlight w:val="none"/>
                <w:lang w:eastAsia="zh-CN"/>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表4-</w:t>
            </w:r>
            <w:r>
              <w:rPr>
                <w:rFonts w:hint="eastAsia" w:ascii="Times New Roman" w:hAnsi="Times New Roman" w:eastAsia="宋体"/>
                <w:b/>
                <w:color w:val="000000" w:themeColor="text1"/>
                <w:szCs w:val="21"/>
                <w:highlight w:val="none"/>
                <w:lang w:val="en-US" w:eastAsia="zh-CN"/>
                <w14:textFill>
                  <w14:solidFill>
                    <w14:schemeClr w14:val="tx1"/>
                  </w14:solidFill>
                </w14:textFill>
              </w:rPr>
              <w:t>7</w:t>
            </w:r>
            <w:r>
              <w:rPr>
                <w:rFonts w:ascii="Times New Roman" w:hAnsi="Times New Roman" w:eastAsia="宋体"/>
                <w:b/>
                <w:color w:val="000000" w:themeColor="text1"/>
                <w:szCs w:val="21"/>
                <w:highlight w:val="none"/>
                <w14:textFill>
                  <w14:solidFill>
                    <w14:schemeClr w14:val="tx1"/>
                  </w14:solidFill>
                </w14:textFill>
              </w:rPr>
              <w:t xml:space="preserve">    废气监测</w:t>
            </w:r>
            <w:r>
              <w:rPr>
                <w:rFonts w:hint="eastAsia" w:ascii="Times New Roman" w:hAnsi="Times New Roman" w:eastAsia="宋体"/>
                <w:b/>
                <w:color w:val="000000" w:themeColor="text1"/>
                <w:szCs w:val="21"/>
                <w:highlight w:val="none"/>
                <w:lang w:eastAsia="zh-CN"/>
                <w14:textFill>
                  <w14:solidFill>
                    <w14:schemeClr w14:val="tx1"/>
                  </w14:solidFill>
                </w14:textFill>
              </w:rPr>
              <w:t>计划</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15"/>
              <w:gridCol w:w="1489"/>
              <w:gridCol w:w="1393"/>
              <w:gridCol w:w="3242"/>
            </w:tblGrid>
            <w:tr w14:paraId="647F84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3" w:type="pct"/>
                  <w:tcBorders>
                    <w:tl2br w:val="nil"/>
                    <w:tr2bl w:val="nil"/>
                  </w:tcBorders>
                  <w:vAlign w:val="center"/>
                </w:tcPr>
                <w:p w14:paraId="590458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监测点位</w:t>
                  </w:r>
                </w:p>
              </w:tc>
              <w:tc>
                <w:tcPr>
                  <w:tcW w:w="937" w:type="pct"/>
                  <w:tcBorders>
                    <w:tl2br w:val="nil"/>
                    <w:tr2bl w:val="nil"/>
                  </w:tcBorders>
                  <w:vAlign w:val="center"/>
                </w:tcPr>
                <w:p w14:paraId="25AB33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监测因子</w:t>
                  </w:r>
                </w:p>
              </w:tc>
              <w:tc>
                <w:tcPr>
                  <w:tcW w:w="877" w:type="pct"/>
                  <w:tcBorders>
                    <w:tl2br w:val="nil"/>
                    <w:tr2bl w:val="nil"/>
                  </w:tcBorders>
                  <w:vAlign w:val="center"/>
                </w:tcPr>
                <w:p w14:paraId="087321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color w:val="000000" w:themeColor="text1"/>
                      <w:szCs w:val="21"/>
                      <w:highlight w:val="none"/>
                      <w14:textFill>
                        <w14:solidFill>
                          <w14:schemeClr w14:val="tx1"/>
                        </w14:solidFill>
                      </w14:textFill>
                    </w:rPr>
                  </w:pPr>
                  <w:r>
                    <w:rPr>
                      <w:rFonts w:ascii="Times New Roman" w:hAnsi="Times New Roman" w:eastAsia="宋体"/>
                      <w:b/>
                      <w:color w:val="000000" w:themeColor="text1"/>
                      <w:szCs w:val="21"/>
                      <w:highlight w:val="none"/>
                      <w14:textFill>
                        <w14:solidFill>
                          <w14:schemeClr w14:val="tx1"/>
                        </w14:solidFill>
                      </w14:textFill>
                    </w:rPr>
                    <w:t>监测频次</w:t>
                  </w:r>
                </w:p>
              </w:tc>
              <w:tc>
                <w:tcPr>
                  <w:tcW w:w="2041" w:type="pct"/>
                  <w:tcBorders>
                    <w:tl2br w:val="nil"/>
                    <w:tr2bl w:val="nil"/>
                  </w:tcBorders>
                  <w:vAlign w:val="center"/>
                </w:tcPr>
                <w:p w14:paraId="00D15D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color w:val="000000" w:themeColor="text1"/>
                      <w:szCs w:val="21"/>
                      <w:highlight w:val="none"/>
                      <w:lang w:eastAsia="zh-CN"/>
                      <w14:textFill>
                        <w14:solidFill>
                          <w14:schemeClr w14:val="tx1"/>
                        </w14:solidFill>
                      </w14:textFill>
                    </w:rPr>
                  </w:pPr>
                  <w:r>
                    <w:rPr>
                      <w:rFonts w:hint="eastAsia" w:ascii="Times New Roman" w:hAnsi="Times New Roman" w:eastAsia="宋体"/>
                      <w:b/>
                      <w:color w:val="000000" w:themeColor="text1"/>
                      <w:szCs w:val="21"/>
                      <w:highlight w:val="none"/>
                      <w:lang w:eastAsia="zh-CN"/>
                      <w14:textFill>
                        <w14:solidFill>
                          <w14:schemeClr w14:val="tx1"/>
                        </w14:solidFill>
                      </w14:textFill>
                    </w:rPr>
                    <w:t>执行标准</w:t>
                  </w:r>
                </w:p>
              </w:tc>
            </w:tr>
            <w:tr w14:paraId="1085ED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3" w:type="pct"/>
                  <w:tcBorders>
                    <w:tl2br w:val="nil"/>
                    <w:tr2bl w:val="nil"/>
                  </w:tcBorders>
                  <w:vAlign w:val="center"/>
                </w:tcPr>
                <w:p w14:paraId="6264CAF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Cs w:val="21"/>
                      <w:highlight w:val="none"/>
                      <w14:textFill>
                        <w14:solidFill>
                          <w14:schemeClr w14:val="tx1"/>
                        </w14:solidFill>
                      </w14:textFill>
                    </w:rPr>
                  </w:pPr>
                  <w:r>
                    <w:rPr>
                      <w:rFonts w:ascii="Times New Roman" w:hAnsi="Times New Roman" w:eastAsia="宋体"/>
                      <w:bCs/>
                      <w:color w:val="000000" w:themeColor="text1"/>
                      <w:szCs w:val="21"/>
                      <w:highlight w:val="none"/>
                      <w14:textFill>
                        <w14:solidFill>
                          <w14:schemeClr w14:val="tx1"/>
                        </w14:solidFill>
                      </w14:textFill>
                    </w:rPr>
                    <w:t>厂界</w:t>
                  </w:r>
                </w:p>
              </w:tc>
              <w:tc>
                <w:tcPr>
                  <w:tcW w:w="937" w:type="pct"/>
                  <w:tcBorders>
                    <w:tl2br w:val="nil"/>
                    <w:tr2bl w:val="nil"/>
                  </w:tcBorders>
                  <w:vAlign w:val="center"/>
                </w:tcPr>
                <w:p w14:paraId="59F729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Cs w:val="21"/>
                      <w:highlight w:val="none"/>
                      <w14:textFill>
                        <w14:solidFill>
                          <w14:schemeClr w14:val="tx1"/>
                        </w14:solidFill>
                      </w14:textFill>
                    </w:rPr>
                  </w:pPr>
                  <w:r>
                    <w:rPr>
                      <w:rFonts w:ascii="Times New Roman" w:hAnsi="Times New Roman" w:eastAsia="宋体"/>
                      <w:bCs/>
                      <w:color w:val="000000" w:themeColor="text1"/>
                      <w:szCs w:val="21"/>
                      <w:highlight w:val="none"/>
                      <w14:textFill>
                        <w14:solidFill>
                          <w14:schemeClr w14:val="tx1"/>
                        </w14:solidFill>
                      </w14:textFill>
                    </w:rPr>
                    <w:t>颗粒物</w:t>
                  </w:r>
                </w:p>
              </w:tc>
              <w:tc>
                <w:tcPr>
                  <w:tcW w:w="877" w:type="pct"/>
                  <w:tcBorders>
                    <w:tl2br w:val="nil"/>
                    <w:tr2bl w:val="nil"/>
                  </w:tcBorders>
                  <w:vAlign w:val="center"/>
                </w:tcPr>
                <w:p w14:paraId="7DF629E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Cs/>
                      <w:color w:val="000000" w:themeColor="text1"/>
                      <w:szCs w:val="21"/>
                      <w:highlight w:val="none"/>
                      <w14:textFill>
                        <w14:solidFill>
                          <w14:schemeClr w14:val="tx1"/>
                        </w14:solidFill>
                      </w14:textFill>
                    </w:rPr>
                  </w:pPr>
                  <w:r>
                    <w:rPr>
                      <w:rFonts w:ascii="Times New Roman" w:hAnsi="Times New Roman" w:eastAsia="宋体"/>
                      <w:bCs/>
                      <w:color w:val="000000" w:themeColor="text1"/>
                      <w:szCs w:val="21"/>
                      <w:highlight w:val="none"/>
                      <w14:textFill>
                        <w14:solidFill>
                          <w14:schemeClr w14:val="tx1"/>
                        </w14:solidFill>
                      </w14:textFill>
                    </w:rPr>
                    <w:t>1次/半年</w:t>
                  </w:r>
                </w:p>
              </w:tc>
              <w:tc>
                <w:tcPr>
                  <w:tcW w:w="2041" w:type="pct"/>
                  <w:tcBorders>
                    <w:tl2br w:val="nil"/>
                    <w:tr2bl w:val="nil"/>
                  </w:tcBorders>
                  <w:vAlign w:val="center"/>
                </w:tcPr>
                <w:p w14:paraId="14E417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Cs/>
                      <w:color w:val="000000" w:themeColor="text1"/>
                      <w:szCs w:val="21"/>
                      <w:highlight w:val="none"/>
                      <w:lang w:eastAsia="zh-CN"/>
                      <w14:textFill>
                        <w14:solidFill>
                          <w14:schemeClr w14:val="tx1"/>
                        </w14:solidFill>
                      </w14:textFill>
                    </w:rPr>
                  </w:pPr>
                  <w:r>
                    <w:rPr>
                      <w:rFonts w:hint="eastAsia" w:ascii="Times New Roman" w:hAnsi="Times New Roman" w:eastAsia="宋体"/>
                      <w:bCs/>
                      <w:color w:val="000000" w:themeColor="text1"/>
                      <w:szCs w:val="21"/>
                      <w:highlight w:val="none"/>
                      <w:lang w:eastAsia="zh-CN"/>
                      <w14:textFill>
                        <w14:solidFill>
                          <w14:schemeClr w14:val="tx1"/>
                        </w14:solidFill>
                      </w14:textFill>
                    </w:rPr>
                    <w:t>《四川省水泥工业大气污染物排放标准》（DB51 2864 -2021）中大气污染物无组织排放限值</w:t>
                  </w:r>
                </w:p>
              </w:tc>
            </w:tr>
          </w:tbl>
          <w:p w14:paraId="2ABCB7F9">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w:t>
            </w:r>
            <w:r>
              <w:rPr>
                <w:rFonts w:hint="eastAsia"/>
                <w:b/>
                <w:bCs/>
                <w:color w:val="000000" w:themeColor="text1"/>
                <w:sz w:val="24"/>
                <w:szCs w:val="24"/>
                <w:highlight w:val="none"/>
                <w:lang w:val="en-US" w:eastAsia="zh-CN"/>
                <w14:textFill>
                  <w14:solidFill>
                    <w14:schemeClr w14:val="tx1"/>
                  </w14:solidFill>
                </w14:textFill>
              </w:rPr>
              <w:t>3</w:t>
            </w:r>
            <w:r>
              <w:rPr>
                <w:rFonts w:hint="eastAsia"/>
                <w:b/>
                <w:bCs/>
                <w:color w:val="000000" w:themeColor="text1"/>
                <w:sz w:val="24"/>
                <w:szCs w:val="24"/>
                <w:highlight w:val="none"/>
                <w14:textFill>
                  <w14:solidFill>
                    <w14:schemeClr w14:val="tx1"/>
                  </w14:solidFill>
                </w14:textFill>
              </w:rPr>
              <w:t>、非正常排放影响分析</w:t>
            </w:r>
          </w:p>
          <w:p w14:paraId="4357FE1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非正常排放是指生产过程中开停工、设备检修、工艺设备运转异常等非正常工况下的污染物排放，以及污染物排放控制措施达不到应有效率等情况下的排放。本项目发生非正常排放主要为以下情形：</w:t>
            </w:r>
          </w:p>
          <w:p w14:paraId="0F00D5C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营运期废气处理系统设施故障主要表现在除尘设施检修、更换部件等过程，造成废气治理效果达不到处理要求甚至处理效率为零的情况，发生率每年大约1~3次，每次持续时间在1小时内。考虑最坏的情况，各废气处理系统净化效率下降至0%。</w:t>
            </w:r>
          </w:p>
          <w:p w14:paraId="48A223E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为防止非正常排放下对环境的影响，本评价要求建设单位应落实以下要求：</w:t>
            </w:r>
          </w:p>
          <w:p w14:paraId="3E4210B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①定期对废气环保设施设备进行检修，确保设备稳定、有效运行。</w:t>
            </w:r>
          </w:p>
          <w:p w14:paraId="5B5F734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w:t>
            </w:r>
            <w:r>
              <w:rPr>
                <w:color w:val="000000" w:themeColor="text1"/>
                <w:sz w:val="24"/>
                <w:szCs w:val="24"/>
                <w:highlight w:val="none"/>
                <w14:textFill>
                  <w14:solidFill>
                    <w14:schemeClr w14:val="tx1"/>
                  </w14:solidFill>
                </w14:textFill>
              </w:rPr>
              <w:t>各废气处理设备尽可能设置备用零部件，一旦设备出现故障，立即更换并启用新部件，减少故障持续时间。</w:t>
            </w:r>
          </w:p>
          <w:p w14:paraId="62AECAF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二、水污染物产生及治理措施</w:t>
            </w:r>
          </w:p>
          <w:p w14:paraId="01DEF61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1、生产废水</w:t>
            </w:r>
          </w:p>
          <w:p w14:paraId="79F2A20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（1）商品混凝土及</w:t>
            </w:r>
            <w:r>
              <w:rPr>
                <w:rFonts w:hint="eastAsia"/>
                <w:color w:val="000000" w:themeColor="text1"/>
                <w:sz w:val="24"/>
                <w:szCs w:val="24"/>
                <w:highlight w:val="none"/>
                <w:lang w:eastAsia="zh-CN"/>
                <w14:textFill>
                  <w14:solidFill>
                    <w14:schemeClr w14:val="tx1"/>
                  </w14:solidFill>
                </w14:textFill>
              </w:rPr>
              <w:t>水稳基层材料</w:t>
            </w:r>
            <w:r>
              <w:rPr>
                <w:rFonts w:hint="eastAsia"/>
                <w:color w:val="000000" w:themeColor="text1"/>
                <w:sz w:val="24"/>
                <w:szCs w:val="24"/>
                <w:highlight w:val="none"/>
                <w14:textFill>
                  <w14:solidFill>
                    <w14:schemeClr w14:val="tx1"/>
                  </w14:solidFill>
                </w14:textFill>
              </w:rPr>
              <w:t>生产用水</w:t>
            </w:r>
          </w:p>
          <w:p w14:paraId="7857BF6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根据四川省人民政府关于印发《四川省用水定额》的通知（川府函【2021】8号）中表23 非金属矿物制品业用水定额表，用水定额如下：</w:t>
            </w:r>
          </w:p>
          <w:p w14:paraId="190848F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表2-</w:t>
            </w:r>
            <w:r>
              <w:rPr>
                <w:rFonts w:hint="eastAsia"/>
                <w:b/>
                <w:bCs/>
                <w:color w:val="000000" w:themeColor="text1"/>
                <w:szCs w:val="21"/>
                <w:highlight w:val="none"/>
                <w:lang w:val="en-US" w:eastAsia="zh-CN"/>
                <w14:textFill>
                  <w14:solidFill>
                    <w14:schemeClr w14:val="tx1"/>
                  </w14:solidFill>
                </w14:textFill>
              </w:rPr>
              <w:t>15</w:t>
            </w:r>
            <w:r>
              <w:rPr>
                <w:rFonts w:hint="eastAsia"/>
                <w:b/>
                <w:bCs/>
                <w:color w:val="000000" w:themeColor="text1"/>
                <w:szCs w:val="21"/>
                <w:highlight w:val="none"/>
                <w14:textFill>
                  <w14:solidFill>
                    <w14:schemeClr w14:val="tx1"/>
                  </w14:solidFill>
                </w14:textFill>
              </w:rPr>
              <w:t xml:space="preserve">     本项目商品混凝土及砼构件生产用水</w:t>
            </w:r>
          </w:p>
          <w:tbl>
            <w:tblPr>
              <w:tblStyle w:val="21"/>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04"/>
              <w:gridCol w:w="1047"/>
              <w:gridCol w:w="953"/>
              <w:gridCol w:w="1156"/>
              <w:gridCol w:w="1021"/>
              <w:gridCol w:w="778"/>
              <w:gridCol w:w="1040"/>
              <w:gridCol w:w="1040"/>
            </w:tblGrid>
            <w:tr w14:paraId="083A2F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608C79D6">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行业代码</w:t>
                  </w:r>
                </w:p>
              </w:tc>
              <w:tc>
                <w:tcPr>
                  <w:tcW w:w="659" w:type="pct"/>
                  <w:tcBorders>
                    <w:tl2br w:val="nil"/>
                    <w:tr2bl w:val="nil"/>
                  </w:tcBorders>
                  <w:vAlign w:val="center"/>
                </w:tcPr>
                <w:p w14:paraId="234DD30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行业名称</w:t>
                  </w:r>
                </w:p>
              </w:tc>
              <w:tc>
                <w:tcPr>
                  <w:tcW w:w="600" w:type="pct"/>
                  <w:tcBorders>
                    <w:tl2br w:val="nil"/>
                    <w:tr2bl w:val="nil"/>
                  </w:tcBorders>
                  <w:vAlign w:val="center"/>
                </w:tcPr>
                <w:p w14:paraId="6520E9C4">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定额代码</w:t>
                  </w:r>
                </w:p>
              </w:tc>
              <w:tc>
                <w:tcPr>
                  <w:tcW w:w="727" w:type="pct"/>
                  <w:tcBorders>
                    <w:tl2br w:val="nil"/>
                    <w:tr2bl w:val="nil"/>
                  </w:tcBorders>
                  <w:vAlign w:val="center"/>
                </w:tcPr>
                <w:p w14:paraId="118DB02E">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名称</w:t>
                  </w:r>
                </w:p>
              </w:tc>
              <w:tc>
                <w:tcPr>
                  <w:tcW w:w="643" w:type="pct"/>
                  <w:tcBorders>
                    <w:tl2br w:val="nil"/>
                    <w:tr2bl w:val="nil"/>
                  </w:tcBorders>
                  <w:vAlign w:val="center"/>
                </w:tcPr>
                <w:p w14:paraId="1AC5F63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定额单位</w:t>
                  </w:r>
                </w:p>
              </w:tc>
              <w:tc>
                <w:tcPr>
                  <w:tcW w:w="490" w:type="pct"/>
                  <w:tcBorders>
                    <w:tl2br w:val="nil"/>
                    <w:tr2bl w:val="nil"/>
                  </w:tcBorders>
                  <w:vAlign w:val="center"/>
                </w:tcPr>
                <w:p w14:paraId="7C73D84E">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通用值</w:t>
                  </w:r>
                </w:p>
              </w:tc>
              <w:tc>
                <w:tcPr>
                  <w:tcW w:w="655" w:type="pct"/>
                  <w:tcBorders>
                    <w:tl2br w:val="nil"/>
                    <w:tr2bl w:val="nil"/>
                  </w:tcBorders>
                  <w:vAlign w:val="center"/>
                </w:tcPr>
                <w:p w14:paraId="2F43DC7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产品产量</w:t>
                  </w:r>
                </w:p>
              </w:tc>
              <w:tc>
                <w:tcPr>
                  <w:tcW w:w="655" w:type="pct"/>
                  <w:tcBorders>
                    <w:tl2br w:val="nil"/>
                    <w:tr2bl w:val="nil"/>
                  </w:tcBorders>
                  <w:vAlign w:val="center"/>
                </w:tcPr>
                <w:p w14:paraId="3E4C56F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用水量</w:t>
                  </w:r>
                </w:p>
              </w:tc>
            </w:tr>
            <w:tr w14:paraId="1116C8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69" w:type="pct"/>
                  <w:tcBorders>
                    <w:tl2br w:val="nil"/>
                    <w:tr2bl w:val="nil"/>
                  </w:tcBorders>
                  <w:vAlign w:val="center"/>
                </w:tcPr>
                <w:p w14:paraId="01FF9640">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w:t>
                  </w:r>
                </w:p>
              </w:tc>
              <w:tc>
                <w:tcPr>
                  <w:tcW w:w="659" w:type="pct"/>
                  <w:tcBorders>
                    <w:tl2br w:val="nil"/>
                    <w:tr2bl w:val="nil"/>
                  </w:tcBorders>
                  <w:vAlign w:val="center"/>
                </w:tcPr>
                <w:p w14:paraId="0A111492">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石膏、水泥制品及类似制品制造</w:t>
                  </w:r>
                </w:p>
              </w:tc>
              <w:tc>
                <w:tcPr>
                  <w:tcW w:w="600" w:type="pct"/>
                  <w:tcBorders>
                    <w:tl2br w:val="nil"/>
                    <w:tr2bl w:val="nil"/>
                  </w:tcBorders>
                  <w:vAlign w:val="center"/>
                </w:tcPr>
                <w:p w14:paraId="5C5A4D59">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C3021</w:t>
                  </w:r>
                </w:p>
              </w:tc>
              <w:tc>
                <w:tcPr>
                  <w:tcW w:w="727" w:type="pct"/>
                  <w:tcBorders>
                    <w:tl2br w:val="nil"/>
                    <w:tr2bl w:val="nil"/>
                  </w:tcBorders>
                  <w:vAlign w:val="center"/>
                </w:tcPr>
                <w:p w14:paraId="0EDADC7D">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商品混凝土</w:t>
                  </w:r>
                </w:p>
              </w:tc>
              <w:tc>
                <w:tcPr>
                  <w:tcW w:w="643" w:type="pct"/>
                  <w:tcBorders>
                    <w:tl2br w:val="nil"/>
                    <w:tr2bl w:val="nil"/>
                  </w:tcBorders>
                  <w:vAlign w:val="center"/>
                </w:tcPr>
                <w:p w14:paraId="15BE330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r>
                    <w:rPr>
                      <w:rFonts w:hint="eastAsia"/>
                      <w:color w:val="000000" w:themeColor="text1"/>
                      <w:szCs w:val="21"/>
                      <w:highlight w:val="none"/>
                      <w14:textFill>
                        <w14:solidFill>
                          <w14:schemeClr w14:val="tx1"/>
                        </w14:solidFill>
                      </w14:textFill>
                    </w:rPr>
                    <w:t>/m</w:t>
                  </w:r>
                  <w:r>
                    <w:rPr>
                      <w:rFonts w:hint="eastAsia"/>
                      <w:color w:val="000000" w:themeColor="text1"/>
                      <w:szCs w:val="21"/>
                      <w:highlight w:val="none"/>
                      <w:vertAlign w:val="superscript"/>
                      <w14:textFill>
                        <w14:solidFill>
                          <w14:schemeClr w14:val="tx1"/>
                        </w14:solidFill>
                      </w14:textFill>
                    </w:rPr>
                    <w:t>3</w:t>
                  </w:r>
                </w:p>
              </w:tc>
              <w:tc>
                <w:tcPr>
                  <w:tcW w:w="490" w:type="pct"/>
                  <w:tcBorders>
                    <w:tl2br w:val="nil"/>
                    <w:tr2bl w:val="nil"/>
                  </w:tcBorders>
                  <w:vAlign w:val="center"/>
                </w:tcPr>
                <w:p w14:paraId="4A94ED4E">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0.4</w:t>
                  </w:r>
                </w:p>
              </w:tc>
              <w:tc>
                <w:tcPr>
                  <w:tcW w:w="655" w:type="pct"/>
                  <w:tcBorders>
                    <w:tl2br w:val="nil"/>
                    <w:tr2bl w:val="nil"/>
                  </w:tcBorders>
                  <w:vAlign w:val="center"/>
                </w:tcPr>
                <w:p w14:paraId="72CC1DBD">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混凝土</w:t>
                  </w:r>
                  <w:r>
                    <w:rPr>
                      <w:rFonts w:hint="eastAsia"/>
                      <w:color w:val="000000" w:themeColor="text1"/>
                      <w:szCs w:val="21"/>
                      <w:highlight w:val="none"/>
                      <w:lang w:val="en-US" w:eastAsia="zh-CN"/>
                      <w14:textFill>
                        <w14:solidFill>
                          <w14:schemeClr w14:val="tx1"/>
                        </w14:solidFill>
                      </w14:textFill>
                    </w:rPr>
                    <w:t>10</w:t>
                  </w:r>
                  <w:r>
                    <w:rPr>
                      <w:rFonts w:hint="eastAsia"/>
                      <w:color w:val="000000" w:themeColor="text1"/>
                      <w:szCs w:val="21"/>
                      <w:highlight w:val="none"/>
                      <w14:textFill>
                        <w14:solidFill>
                          <w14:schemeClr w14:val="tx1"/>
                        </w14:solidFill>
                      </w14:textFill>
                    </w:rPr>
                    <w:t>0000m</w:t>
                  </w:r>
                  <w:r>
                    <w:rPr>
                      <w:rFonts w:hint="eastAsia"/>
                      <w:color w:val="000000" w:themeColor="text1"/>
                      <w:szCs w:val="21"/>
                      <w:highlight w:val="none"/>
                      <w:vertAlign w:val="superscript"/>
                      <w14:textFill>
                        <w14:solidFill>
                          <w14:schemeClr w14:val="tx1"/>
                        </w14:solidFill>
                      </w14:textFill>
                    </w:rPr>
                    <w:t>3</w:t>
                  </w:r>
                </w:p>
              </w:tc>
              <w:tc>
                <w:tcPr>
                  <w:tcW w:w="655" w:type="pct"/>
                  <w:tcBorders>
                    <w:tl2br w:val="nil"/>
                    <w:tr2bl w:val="nil"/>
                  </w:tcBorders>
                  <w:vAlign w:val="center"/>
                </w:tcPr>
                <w:p w14:paraId="5FEB512C">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Cs w:val="21"/>
                      <w:highlight w:val="none"/>
                      <w14:textFill>
                        <w14:solidFill>
                          <w14:schemeClr w14:val="tx1"/>
                        </w14:solidFill>
                      </w14:textFill>
                    </w:rPr>
                  </w:pPr>
                  <w:r>
                    <w:rPr>
                      <w:rFonts w:hint="eastAsia"/>
                      <w:color w:val="000000" w:themeColor="text1"/>
                      <w:szCs w:val="21"/>
                      <w:highlight w:val="none"/>
                      <w:lang w:val="en-US" w:eastAsia="zh-CN"/>
                      <w14:textFill>
                        <w14:solidFill>
                          <w14:schemeClr w14:val="tx1"/>
                        </w14:solidFill>
                      </w14:textFill>
                    </w:rPr>
                    <w:t>40</w:t>
                  </w:r>
                  <w:r>
                    <w:rPr>
                      <w:rFonts w:hint="eastAsia"/>
                      <w:color w:val="000000" w:themeColor="text1"/>
                      <w:szCs w:val="21"/>
                      <w:highlight w:val="none"/>
                      <w14:textFill>
                        <w14:solidFill>
                          <w14:schemeClr w14:val="tx1"/>
                        </w14:solidFill>
                      </w14:textFill>
                    </w:rPr>
                    <w:t>000m</w:t>
                  </w:r>
                  <w:r>
                    <w:rPr>
                      <w:rFonts w:hint="eastAsia"/>
                      <w:color w:val="000000" w:themeColor="text1"/>
                      <w:szCs w:val="21"/>
                      <w:highlight w:val="none"/>
                      <w:vertAlign w:val="superscript"/>
                      <w14:textFill>
                        <w14:solidFill>
                          <w14:schemeClr w14:val="tx1"/>
                        </w14:solidFill>
                      </w14:textFill>
                    </w:rPr>
                    <w:t>3</w:t>
                  </w:r>
                </w:p>
              </w:tc>
            </w:tr>
          </w:tbl>
          <w:p w14:paraId="241A9513">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textAlignment w:val="auto"/>
              <w:rPr>
                <w:rFonts w:hint="eastAsia"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本项目混凝土生产总用水量为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40000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114.3</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eastAsia="zh-CN"/>
                <w14:textFill>
                  <w14:solidFill>
                    <w14:schemeClr w14:val="tx1"/>
                  </w14:solidFill>
                </w14:textFill>
              </w:rPr>
              <w:t>。此用水部分进入产品，部分蒸发损耗，不产生生产废水。</w:t>
            </w:r>
          </w:p>
          <w:p w14:paraId="7E28B4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根据建设单位提供，本项目生产水稳基层材料含水率为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4%，生产用水量为10000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，约</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28.6</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eastAsia="zh-CN"/>
                <w14:textFill>
                  <w14:solidFill>
                    <w14:schemeClr w14:val="tx1"/>
                  </w14:solidFill>
                </w14:textFill>
              </w:rPr>
              <w:t>。此用水部分进入产品，部分蒸发损耗，不产生生产废水。</w:t>
            </w:r>
          </w:p>
          <w:p w14:paraId="120C063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（2）搅拌机冲洗用水</w:t>
            </w:r>
          </w:p>
          <w:p w14:paraId="4F951A8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32"/>
                <w:szCs w:val="24"/>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搅拌主机为本项目的主要生产设备，一般情况下搅拌主机每天冲洗1次，根据建设单位提供资料，每台搅拌主机每次冲洗水用量为0.5m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/次，项目</w:t>
            </w:r>
            <w:r>
              <w:rPr>
                <w:rFonts w:hint="eastAsia" w:ascii="Times New Roman" w:hAnsi="Times New Roman" w:eastAsia="宋体"/>
                <w:color w:val="000000" w:themeColor="text1"/>
                <w:sz w:val="24"/>
                <w:szCs w:val="24"/>
                <w:highlight w:val="none"/>
                <w:lang w:eastAsia="zh-CN"/>
                <w14:textFill>
                  <w14:solidFill>
                    <w14:schemeClr w14:val="tx1"/>
                  </w14:solidFill>
                </w14:textFill>
              </w:rPr>
              <w:t>拌和站两</w:t>
            </w:r>
            <w:r>
              <w:rPr>
                <w:rFonts w:ascii="Times New Roman" w:hAnsi="Times New Roman" w:eastAsia="宋体"/>
                <w:color w:val="000000" w:themeColor="text1"/>
                <w:sz w:val="24"/>
                <w:szCs w:val="24"/>
                <w:highlight w:val="none"/>
                <w14:textFill>
                  <w14:solidFill>
                    <w14:schemeClr w14:val="tx1"/>
                  </w14:solidFill>
                </w14:textFill>
              </w:rPr>
              <w:t>套搅拌主机</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水稳</w:t>
            </w:r>
            <w:r>
              <w:rPr>
                <w:rFonts w:hint="eastAsia" w:ascii="Times New Roman" w:hAnsi="Times New Roman" w:eastAsia="宋体"/>
                <w:color w:val="000000" w:themeColor="text1"/>
                <w:sz w:val="24"/>
                <w:szCs w:val="24"/>
                <w:highlight w:val="none"/>
                <w:lang w:eastAsia="zh-CN"/>
                <w14:textFill>
                  <w14:solidFill>
                    <w14:schemeClr w14:val="tx1"/>
                  </w14:solidFill>
                </w14:textFill>
              </w:rPr>
              <w:t>站一</w:t>
            </w:r>
            <w:r>
              <w:rPr>
                <w:rFonts w:ascii="Times New Roman" w:hAnsi="Times New Roman" w:eastAsia="宋体"/>
                <w:color w:val="000000" w:themeColor="text1"/>
                <w:sz w:val="24"/>
                <w:szCs w:val="24"/>
                <w:highlight w:val="none"/>
                <w14:textFill>
                  <w14:solidFill>
                    <w14:schemeClr w14:val="tx1"/>
                  </w14:solidFill>
                </w14:textFill>
              </w:rPr>
              <w:t>套搅拌主机</w:t>
            </w:r>
            <w:r>
              <w:rPr>
                <w:rFonts w:hint="eastAsia" w:ascii="Times New Roman" w:hAnsi="Times New Roman" w:eastAsia="宋体"/>
                <w:color w:val="000000" w:themeColor="text1"/>
                <w:sz w:val="24"/>
                <w:szCs w:val="24"/>
                <w:highlight w:val="none"/>
                <w:lang w:eastAsia="zh-CN"/>
                <w14:textFill>
                  <w14:solidFill>
                    <w14:schemeClr w14:val="tx1"/>
                  </w14:solidFill>
                </w14:textFill>
              </w:rPr>
              <w:t>，则</w:t>
            </w:r>
            <w:r>
              <w:rPr>
                <w:rFonts w:ascii="Times New Roman" w:hAnsi="Times New Roman" w:eastAsia="宋体"/>
                <w:color w:val="000000" w:themeColor="text1"/>
                <w:sz w:val="24"/>
                <w:szCs w:val="24"/>
                <w:highlight w:val="none"/>
                <w14:textFill>
                  <w14:solidFill>
                    <w14:schemeClr w14:val="tx1"/>
                  </w14:solidFill>
                </w14:textFill>
              </w:rPr>
              <w:t>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则搅拌机冲洗废水量为1.35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472.5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），同时添加絮凝沉淀剂（PAM、PAC），上清液回用于厂区清洗及抑尘用水。</w:t>
            </w:r>
          </w:p>
          <w:p w14:paraId="2B1B9A9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混凝土罐车、水稳材料运输车</w:t>
            </w:r>
            <w:r>
              <w:rPr>
                <w:rFonts w:hint="eastAsia" w:ascii="Times New Roman" w:hAnsi="Times New Roman" w:eastAsia="宋体"/>
                <w:color w:val="000000" w:themeColor="text1"/>
                <w:sz w:val="24"/>
                <w:szCs w:val="21"/>
                <w:highlight w:val="none"/>
                <w14:textFill>
                  <w14:solidFill>
                    <w14:schemeClr w14:val="tx1"/>
                  </w14:solidFill>
                </w14:textFill>
              </w:rPr>
              <w:t>冲洗用水</w:t>
            </w:r>
          </w:p>
          <w:p w14:paraId="1E7B325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本项目共设置1</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4"/>
                <w:highlight w:val="none"/>
                <w14:textFill>
                  <w14:solidFill>
                    <w14:schemeClr w14:val="tx1"/>
                  </w14:solidFill>
                </w14:textFill>
              </w:rPr>
              <w:t>辆成品混凝土运输罐车</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10辆</w:t>
            </w:r>
            <w:r>
              <w:rPr>
                <w:rFonts w:hint="eastAsia" w:ascii="Times New Roman" w:hAnsi="Times New Roman" w:eastAsia="宋体"/>
                <w:color w:val="000000" w:themeColor="text1"/>
                <w:sz w:val="24"/>
                <w:szCs w:val="21"/>
                <w:highlight w:val="none"/>
                <w:lang w:eastAsia="zh-CN"/>
                <w14:textFill>
                  <w14:solidFill>
                    <w14:schemeClr w14:val="tx1"/>
                  </w14:solidFill>
                </w14:textFill>
              </w:rPr>
              <w:t>水稳材料运输车。</w:t>
            </w:r>
            <w:r>
              <w:rPr>
                <w:rFonts w:ascii="Times New Roman" w:hAnsi="Times New Roman" w:eastAsia="宋体"/>
                <w:color w:val="000000" w:themeColor="text1"/>
                <w:sz w:val="24"/>
                <w:szCs w:val="24"/>
                <w:highlight w:val="none"/>
                <w14:textFill>
                  <w14:solidFill>
                    <w14:schemeClr w14:val="tx1"/>
                  </w14:solidFill>
                </w14:textFill>
              </w:rPr>
              <w:t>根据建设单位提供资料，</w:t>
            </w:r>
            <w:r>
              <w:rPr>
                <w:rFonts w:hint="default" w:ascii="Times New Roman" w:hAnsi="Times New Roman" w:eastAsia="宋体" w:cs="Times New Roman"/>
                <w:color w:val="000000" w:themeColor="text1"/>
                <w:sz w:val="24"/>
                <w:szCs w:val="22"/>
                <w:highlight w:val="none"/>
                <w14:textFill>
                  <w14:solidFill>
                    <w14:schemeClr w14:val="tx1"/>
                  </w14:solidFill>
                </w14:textFill>
              </w:rPr>
              <w:t>每</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辆车每天</w:t>
            </w:r>
            <w:r>
              <w:rPr>
                <w:rFonts w:hint="default" w:ascii="Times New Roman" w:hAnsi="Times New Roman" w:eastAsia="宋体" w:cs="Times New Roman"/>
                <w:color w:val="000000" w:themeColor="text1"/>
                <w:sz w:val="24"/>
                <w:szCs w:val="22"/>
                <w:highlight w:val="none"/>
                <w14:textFill>
                  <w14:solidFill>
                    <w14:schemeClr w14:val="tx1"/>
                  </w14:solidFill>
                </w14:textFill>
              </w:rPr>
              <w:t>冲洗1次，</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每次冲洗用水量约为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辆，</w:t>
            </w:r>
            <w:r>
              <w:rPr>
                <w:rFonts w:hint="eastAsia" w:ascii="Times New Roman" w:hAnsi="Times New Roman" w:eastAsia="宋体"/>
                <w:color w:val="000000" w:themeColor="text1"/>
                <w:sz w:val="24"/>
                <w:szCs w:val="24"/>
                <w:highlight w:val="none"/>
                <w:lang w:eastAsia="zh-CN"/>
                <w14:textFill>
                  <w14:solidFill>
                    <w14:schemeClr w14:val="tx1"/>
                  </w14:solidFill>
                </w14:textFill>
              </w:rPr>
              <w:t>则项目混凝土运输罐车</w:t>
            </w:r>
            <w:r>
              <w:rPr>
                <w:rFonts w:hint="eastAsia" w:ascii="Times New Roman" w:hAnsi="Times New Roman" w:eastAsia="宋体"/>
                <w:color w:val="000000" w:themeColor="text1"/>
                <w:sz w:val="24"/>
                <w:szCs w:val="21"/>
                <w:highlight w:val="none"/>
                <w:lang w:eastAsia="zh-CN"/>
                <w14:textFill>
                  <w14:solidFill>
                    <w14:schemeClr w14:val="tx1"/>
                  </w14:solidFill>
                </w14:textFill>
              </w:rPr>
              <w:t>、水稳材料运输车</w:t>
            </w:r>
            <w:r>
              <w:rPr>
                <w:rFonts w:ascii="Times New Roman" w:hAnsi="Times New Roman" w:eastAsia="宋体"/>
                <w:color w:val="000000" w:themeColor="text1"/>
                <w:sz w:val="24"/>
                <w:szCs w:val="24"/>
                <w:highlight w:val="none"/>
                <w14:textFill>
                  <w14:solidFill>
                    <w14:schemeClr w14:val="tx1"/>
                  </w14:solidFill>
                </w14:textFill>
              </w:rPr>
              <w:t>每天清洗用水量为</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8750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则搅拌机冲洗废水量为22.5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7875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后进入五级沉淀池（1</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50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），同时添加絮凝沉淀剂（PAM、PAC），上清液回用于厂区清洗及抑尘用水。</w:t>
            </w:r>
          </w:p>
          <w:p w14:paraId="6C740FC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4</w:t>
            </w:r>
            <w:r>
              <w:rPr>
                <w:rFonts w:hint="eastAsia" w:ascii="Times New Roman" w:hAnsi="Times New Roman" w:eastAsia="宋体"/>
                <w:color w:val="000000" w:themeColor="text1"/>
                <w:sz w:val="24"/>
                <w:szCs w:val="21"/>
                <w:highlight w:val="none"/>
                <w14:textFill>
                  <w14:solidFill>
                    <w14:schemeClr w14:val="tx1"/>
                  </w14:solidFill>
                </w14:textFill>
              </w:rPr>
              <w:t>）养护</w:t>
            </w:r>
            <w:r>
              <w:rPr>
                <w:rFonts w:hint="eastAsia" w:ascii="Times New Roman" w:hAnsi="Times New Roman" w:eastAsia="宋体"/>
                <w:color w:val="000000" w:themeColor="text1"/>
                <w:sz w:val="24"/>
                <w:szCs w:val="21"/>
                <w:highlight w:val="none"/>
                <w:lang w:eastAsia="zh-CN"/>
                <w14:textFill>
                  <w14:solidFill>
                    <w14:schemeClr w14:val="tx1"/>
                  </w14:solidFill>
                </w14:textFill>
              </w:rPr>
              <w:t>用水</w:t>
            </w:r>
          </w:p>
          <w:p w14:paraId="3BBC118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olor w:val="000000" w:themeColor="text1"/>
                <w:sz w:val="32"/>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预制件</w:t>
            </w:r>
            <w:r>
              <w:rPr>
                <w:rFonts w:hint="eastAsia" w:ascii="Times New Roman" w:hAnsi="Times New Roman" w:eastAsia="宋体"/>
                <w:color w:val="000000" w:themeColor="text1"/>
                <w:sz w:val="24"/>
                <w:szCs w:val="21"/>
                <w:highlight w:val="none"/>
                <w:lang w:eastAsia="zh-CN"/>
                <w14:textFill>
                  <w14:solidFill>
                    <w14:schemeClr w14:val="tx1"/>
                  </w14:solidFill>
                </w14:textFill>
              </w:rPr>
              <w:t>除冬季外（约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250d</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养护采取喷雾方式进行洒水养护，一天用水量约为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共</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3750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冬季养护（约</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100d</w:t>
            </w:r>
            <w:r>
              <w:rPr>
                <w:rFonts w:hint="eastAsia" w:ascii="Times New Roman" w:hAnsi="Times New Roman" w:eastAsia="宋体"/>
                <w:color w:val="000000" w:themeColor="text1"/>
                <w:sz w:val="24"/>
                <w:szCs w:val="21"/>
                <w:highlight w:val="none"/>
                <w:lang w:eastAsia="zh-CN"/>
                <w14:textFill>
                  <w14:solidFill>
                    <w14:schemeClr w14:val="tx1"/>
                  </w14:solidFill>
                </w14:textFill>
              </w:rPr>
              <w:t>）采用电加热蒸汽发生器为养护工段提供蒸汽，日运行</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10小时，项目蒸养工段蒸汽用量约15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/d，蒸汽发生器自带软水制备系统，软水制备率为75%，消耗新鲜水约20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/d，共2000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。养护用水90%</w:t>
            </w:r>
            <w:r>
              <w:rPr>
                <w:rFonts w:hint="eastAsia" w:ascii="Times New Roman" w:hAnsi="Times New Roman" w:eastAsia="宋体"/>
                <w:color w:val="000000" w:themeColor="text1"/>
                <w:sz w:val="24"/>
                <w:szCs w:val="24"/>
                <w:highlight w:val="none"/>
                <w:lang w:eastAsia="zh-CN"/>
                <w14:textFill>
                  <w14:solidFill>
                    <w14:schemeClr w14:val="tx1"/>
                  </w14:solidFill>
                </w14:textFill>
              </w:rPr>
              <w:t>蒸发损耗，</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10%产生冷凝水，冷凝水产生量为1.5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/d，525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蒸汽发生器自带软水制备系统浓水产生约为5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/d，500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设置沉淀池（1</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0</w:t>
            </w:r>
            <w:r>
              <w:rPr>
                <w:rFonts w:hint="eastAsia" w:ascii="Times New Roman" w:hAnsi="Times New Roman" w:eastAsia="宋体"/>
                <w:color w:val="000000" w:themeColor="text1"/>
                <w:sz w:val="24"/>
                <w:szCs w:val="24"/>
                <w:highlight w:val="none"/>
                <w:lang w:eastAsia="zh-CN"/>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sz w:val="24"/>
                <w:szCs w:val="24"/>
                <w:highlight w:val="none"/>
                <w:lang w:eastAsia="zh-CN"/>
                <w14:textFill>
                  <w14:solidFill>
                    <w14:schemeClr w14:val="tx1"/>
                  </w14:solidFill>
                </w14:textFill>
              </w:rPr>
              <w:t>），经沉淀后回用于洒水降尘等。</w:t>
            </w:r>
          </w:p>
          <w:p w14:paraId="4AAE070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eastAsia="zh-CN"/>
                <w14:textFill>
                  <w14:solidFill>
                    <w14:schemeClr w14:val="tx1"/>
                  </w14:solidFill>
                </w14:textFill>
              </w:rPr>
              <w:t>破碎加工</w:t>
            </w:r>
            <w:r>
              <w:rPr>
                <w:rFonts w:hint="eastAsia" w:ascii="Times New Roman" w:hAnsi="Times New Roman" w:eastAsia="宋体"/>
                <w:color w:val="000000" w:themeColor="text1"/>
                <w:sz w:val="24"/>
                <w:szCs w:val="21"/>
                <w:highlight w:val="none"/>
                <w14:textFill>
                  <w14:solidFill>
                    <w14:schemeClr w14:val="tx1"/>
                  </w14:solidFill>
                </w14:textFill>
              </w:rPr>
              <w:t>用水</w:t>
            </w:r>
          </w:p>
          <w:p w14:paraId="272DDF7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项目在</w:t>
            </w:r>
            <w:r>
              <w:rPr>
                <w:rFonts w:hint="eastAsia" w:ascii="Times New Roman" w:hAnsi="Times New Roman" w:eastAsia="宋体"/>
                <w:color w:val="000000" w:themeColor="text1"/>
                <w:sz w:val="24"/>
                <w:szCs w:val="21"/>
                <w:highlight w:val="none"/>
                <w:lang w:eastAsia="zh-CN"/>
                <w14:textFill>
                  <w14:solidFill>
                    <w14:schemeClr w14:val="tx1"/>
                  </w14:solidFill>
                </w14:textFill>
              </w:rPr>
              <w:t>碎石</w:t>
            </w:r>
            <w:r>
              <w:rPr>
                <w:rFonts w:hint="eastAsia" w:ascii="Times New Roman" w:hAnsi="Times New Roman" w:eastAsia="宋体"/>
                <w:color w:val="000000" w:themeColor="text1"/>
                <w:sz w:val="24"/>
                <w:szCs w:val="21"/>
                <w:highlight w:val="none"/>
                <w14:textFill>
                  <w14:solidFill>
                    <w14:schemeClr w14:val="tx1"/>
                  </w14:solidFill>
                </w14:textFill>
              </w:rPr>
              <w:t>生产过程中，</w:t>
            </w:r>
            <w:r>
              <w:rPr>
                <w:rFonts w:hint="eastAsia" w:ascii="Times New Roman" w:hAnsi="Times New Roman" w:eastAsia="宋体"/>
                <w:color w:val="000000" w:themeColor="text1"/>
                <w:sz w:val="24"/>
                <w:szCs w:val="21"/>
                <w:highlight w:val="none"/>
                <w:lang w:eastAsia="zh-CN"/>
                <w14:textFill>
                  <w14:solidFill>
                    <w14:schemeClr w14:val="tx1"/>
                  </w14:solidFill>
                </w14:textFill>
              </w:rPr>
              <w:t>破碎</w:t>
            </w:r>
            <w:r>
              <w:rPr>
                <w:rFonts w:hint="eastAsia" w:ascii="Times New Roman" w:hAnsi="Times New Roman" w:eastAsia="宋体"/>
                <w:color w:val="000000" w:themeColor="text1"/>
                <w:sz w:val="24"/>
                <w:szCs w:val="21"/>
                <w:highlight w:val="none"/>
                <w14:textFill>
                  <w14:solidFill>
                    <w14:schemeClr w14:val="tx1"/>
                  </w14:solidFill>
                </w14:textFill>
              </w:rPr>
              <w:t>工序需大量用水，产生</w:t>
            </w:r>
            <w:r>
              <w:rPr>
                <w:rFonts w:hint="eastAsia" w:ascii="Times New Roman" w:hAnsi="Times New Roman" w:eastAsia="宋体"/>
                <w:color w:val="000000" w:themeColor="text1"/>
                <w:sz w:val="24"/>
                <w:szCs w:val="21"/>
                <w:highlight w:val="none"/>
                <w:lang w:eastAsia="zh-CN"/>
                <w14:textFill>
                  <w14:solidFill>
                    <w14:schemeClr w14:val="tx1"/>
                  </w14:solidFill>
                </w14:textFill>
              </w:rPr>
              <w:t>含</w:t>
            </w:r>
            <w:r>
              <w:rPr>
                <w:rFonts w:hint="eastAsia" w:ascii="Times New Roman" w:hAnsi="Times New Roman" w:eastAsia="宋体"/>
                <w:color w:val="000000" w:themeColor="text1"/>
                <w:sz w:val="24"/>
                <w:szCs w:val="21"/>
                <w:highlight w:val="none"/>
                <w14:textFill>
                  <w14:solidFill>
                    <w14:schemeClr w14:val="tx1"/>
                  </w14:solidFill>
                </w14:textFill>
              </w:rPr>
              <w:t>砂废水。根据建设单位提供资料，项目</w:t>
            </w:r>
            <w:r>
              <w:rPr>
                <w:rFonts w:hint="eastAsia" w:ascii="Times New Roman" w:hAnsi="Times New Roman" w:eastAsia="宋体"/>
                <w:color w:val="000000" w:themeColor="text1"/>
                <w:sz w:val="24"/>
                <w:szCs w:val="21"/>
                <w:highlight w:val="none"/>
                <w:lang w:eastAsia="zh-CN"/>
                <w14:textFill>
                  <w14:solidFill>
                    <w14:schemeClr w14:val="tx1"/>
                  </w14:solidFill>
                </w14:textFill>
              </w:rPr>
              <w:t>破碎加工</w:t>
            </w:r>
            <w:r>
              <w:rPr>
                <w:rFonts w:hint="eastAsia" w:ascii="Times New Roman" w:hAnsi="Times New Roman" w:eastAsia="宋体"/>
                <w:color w:val="000000" w:themeColor="text1"/>
                <w:sz w:val="24"/>
                <w:szCs w:val="21"/>
                <w:highlight w:val="none"/>
                <w14:textFill>
                  <w14:solidFill>
                    <w14:schemeClr w14:val="tx1"/>
                  </w14:solidFill>
                </w14:textFill>
              </w:rPr>
              <w:t>最大用水量为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/h计，则洗砂用水量为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50</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/d，1</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75</w:t>
            </w:r>
            <w:r>
              <w:rPr>
                <w:rFonts w:hint="eastAsia" w:ascii="Times New Roman" w:hAnsi="Times New Roman" w:eastAsia="宋体"/>
                <w:color w:val="000000" w:themeColor="text1"/>
                <w:sz w:val="24"/>
                <w:szCs w:val="21"/>
                <w:highlight w:val="none"/>
                <w14:textFill>
                  <w14:solidFill>
                    <w14:schemeClr w14:val="tx1"/>
                  </w14:solidFill>
                </w14:textFill>
              </w:rPr>
              <w:t>00m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则搅拌机冲洗废水量为45</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15750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），同时添加絮凝沉淀剂（PAM、PAC），上清液回用于厂区清洗及抑尘用水。</w:t>
            </w:r>
          </w:p>
          <w:p w14:paraId="46F018F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6</w:t>
            </w:r>
            <w:r>
              <w:rPr>
                <w:rFonts w:hint="eastAsia" w:ascii="Times New Roman" w:hAnsi="Times New Roman" w:eastAsia="宋体"/>
                <w:color w:val="000000" w:themeColor="text1"/>
                <w:sz w:val="24"/>
                <w:szCs w:val="21"/>
                <w:highlight w:val="none"/>
                <w14:textFill>
                  <w14:solidFill>
                    <w14:schemeClr w14:val="tx1"/>
                  </w14:solidFill>
                </w14:textFill>
              </w:rPr>
              <w:t>）运输车辆冲洗用水</w:t>
            </w:r>
          </w:p>
          <w:p w14:paraId="1C92E26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运输车辆包括：原辅料、生活物资及罐车等其他车辆。</w:t>
            </w:r>
          </w:p>
          <w:p w14:paraId="5BC1C0C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2"/>
                <w:highlight w:val="none"/>
                <w14:textFill>
                  <w14:solidFill>
                    <w14:schemeClr w14:val="tx1"/>
                  </w14:solidFill>
                </w14:textFill>
              </w:rPr>
              <w:t>①</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成品运输：</w:t>
            </w:r>
            <w:r>
              <w:rPr>
                <w:rFonts w:hint="default" w:ascii="Times New Roman" w:hAnsi="Times New Roman" w:eastAsia="宋体" w:cs="Times New Roman"/>
                <w:color w:val="000000" w:themeColor="text1"/>
                <w:sz w:val="24"/>
                <w:szCs w:val="22"/>
                <w:highlight w:val="none"/>
                <w14:textFill>
                  <w14:solidFill>
                    <w14:schemeClr w14:val="tx1"/>
                  </w14:solidFill>
                </w14:textFill>
              </w:rPr>
              <w:t>本项目</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共配备混凝土运输罐车</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5辆</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，混凝土装载量为10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/车，本项目生产商品混凝土1</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其中9040</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a通过混凝土罐车拉运至施工现场，</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混凝土罐车</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26</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加工砂石52500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其中38500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a（约96250t/a）三背回填材料全部拉运至施工现场，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砂石运输车辆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9</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加工水稳基层材料108800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水稳基层材料，</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加工钢筋结构件8100t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其中5220t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a拉运至施工现场，</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3</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本项目</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加工预制梁约283片</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全部拉运至施工现场，单日最多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/d。则本项目成品运输车次约为68</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2E336D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2"/>
                <w:highlight w:val="none"/>
                <w:lang w:val="en-US"/>
                <w14:textFill>
                  <w14:solidFill>
                    <w14:schemeClr w14:val="tx1"/>
                  </w14:solidFill>
                </w14:textFill>
              </w:rPr>
            </w:pP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②</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原料运输：</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本项目</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碎石加工原料</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年用量约</w:t>
            </w:r>
            <w:r>
              <w:rPr>
                <w:rFonts w:hint="default" w:ascii="Times New Roman" w:hAnsi="Times New Roman" w:eastAsia="宋体" w:cs="Times New Roman"/>
                <w:bCs/>
                <w:color w:val="000000" w:themeColor="text1"/>
                <w:sz w:val="24"/>
                <w:szCs w:val="22"/>
                <w:highlight w:val="none"/>
                <w14:textFill>
                  <w14:solidFill>
                    <w14:schemeClr w14:val="tx1"/>
                  </w14:solidFill>
                </w14:textFill>
              </w:rPr>
              <w:t>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52700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a（约129250t/a）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碎石加工</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原料运输车辆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13</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；本项目水稳站年用碎石</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180000t/a，</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厂区内自产碎石约</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14000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a（约35000t/a）</w:t>
            </w:r>
            <w:r>
              <w:rPr>
                <w:rFonts w:hint="default" w:ascii="Times New Roman" w:hAnsi="Times New Roman" w:eastAsia="宋体" w:cs="Times New Roman"/>
                <w:bCs/>
                <w:color w:val="000000" w:themeColor="text1"/>
                <w:sz w:val="24"/>
                <w:szCs w:val="22"/>
                <w:highlight w:val="none"/>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其余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145000t/a需外购，石粉年用量为80000t/a，</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计算，原料</w:t>
            </w:r>
            <w:r>
              <w:rPr>
                <w:rFonts w:hint="default" w:ascii="Times New Roman" w:hAnsi="Times New Roman" w:eastAsia="宋体" w:cs="Times New Roman"/>
                <w:bCs/>
                <w:color w:val="000000" w:themeColor="text1"/>
                <w:sz w:val="24"/>
                <w:szCs w:val="22"/>
                <w:highlight w:val="none"/>
                <w14:textFill>
                  <w14:solidFill>
                    <w14:schemeClr w14:val="tx1"/>
                  </w14:solidFill>
                </w14:textFill>
              </w:rPr>
              <w:t>砂石</w:t>
            </w:r>
            <w:r>
              <w:rPr>
                <w:rFonts w:hint="eastAsia" w:ascii="Times New Roman" w:hAnsi="Times New Roman" w:eastAsia="宋体" w:cs="Times New Roman"/>
                <w:bCs/>
                <w:color w:val="000000" w:themeColor="text1"/>
                <w:sz w:val="24"/>
                <w:szCs w:val="22"/>
                <w:highlight w:val="none"/>
                <w:lang w:eastAsia="zh-CN"/>
                <w14:textFill>
                  <w14:solidFill>
                    <w14:schemeClr w14:val="tx1"/>
                  </w14:solidFill>
                </w14:textFill>
              </w:rPr>
              <w:t>、石粉</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22</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原料水泥、粉煤灰</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年用量共计34000</w:t>
            </w:r>
            <w:r>
              <w:rPr>
                <w:rFonts w:hint="default" w:ascii="Times New Roman" w:hAnsi="Times New Roman" w:eastAsia="宋体" w:cs="Times New Roman"/>
                <w:bCs/>
                <w:color w:val="000000" w:themeColor="text1"/>
                <w:sz w:val="24"/>
                <w:szCs w:val="22"/>
                <w:highlight w:val="none"/>
                <w14:textFill>
                  <w14:solidFill>
                    <w14:schemeClr w14:val="tx1"/>
                  </w14:solidFill>
                </w14:textFill>
              </w:rPr>
              <w:t>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2</w:t>
            </w:r>
            <w:r>
              <w:rPr>
                <w:rFonts w:hint="default" w:ascii="Times New Roman" w:hAnsi="Times New Roman" w:eastAsia="宋体" w:cs="Times New Roman"/>
                <w:bCs/>
                <w:color w:val="000000" w:themeColor="text1"/>
                <w:sz w:val="24"/>
                <w:szCs w:val="22"/>
                <w:highlight w:val="none"/>
                <w14:textFill>
                  <w14:solidFill>
                    <w14:schemeClr w14:val="tx1"/>
                  </w14:solidFill>
                </w14:textFill>
              </w:rPr>
              <w:t>0</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t计算，</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水泥</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、粉煤灰运输车辆约为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车次/</w:t>
            </w:r>
            <w:r>
              <w:rPr>
                <w:rFonts w:hint="default" w:ascii="Times New Roman" w:hAnsi="Times New Roman" w:eastAsia="宋体" w:cs="Times New Roman"/>
                <w:bCs/>
                <w:color w:val="000000" w:themeColor="text1"/>
                <w:sz w:val="24"/>
                <w:szCs w:val="22"/>
                <w:highlight w:val="none"/>
                <w:lang w:val="en-US" w:eastAsia="zh-CN"/>
                <w14:textFill>
                  <w14:solidFill>
                    <w14:schemeClr w14:val="tx1"/>
                  </w14:solidFill>
                </w14:textFill>
              </w:rPr>
              <w:t>d</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拌和站各骨料原料用量为</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2174</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00t/a，</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单车每次运输量按</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30t</w:t>
            </w:r>
            <w:r>
              <w:rPr>
                <w:rFonts w:hint="default" w:ascii="Times New Roman" w:hAnsi="Times New Roman" w:eastAsia="宋体" w:cs="Times New Roman"/>
                <w:bCs/>
                <w:color w:val="000000" w:themeColor="text1"/>
                <w:sz w:val="24"/>
                <w:szCs w:val="22"/>
                <w:highlight w:val="none"/>
                <w:lang w:val="zh-CN"/>
                <w14:textFill>
                  <w14:solidFill>
                    <w14:schemeClr w14:val="tx1"/>
                  </w14:solidFill>
                </w14:textFill>
              </w:rPr>
              <w:t>计算，</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则</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拌和站各骨料原料</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运输车辆</w:t>
            </w:r>
            <w:r>
              <w:rPr>
                <w:rFonts w:hint="default" w:ascii="Times New Roman" w:hAnsi="Times New Roman" w:eastAsia="宋体" w:cs="Times New Roman"/>
                <w:color w:val="000000" w:themeColor="text1"/>
                <w:sz w:val="24"/>
                <w:szCs w:val="22"/>
                <w:highlight w:val="none"/>
                <w14:textFill>
                  <w14:solidFill>
                    <w14:schemeClr w14:val="tx1"/>
                  </w14:solidFill>
                </w14:textFill>
              </w:rPr>
              <w:t>平均每天运输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约</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21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eastAsia" w:ascii="Times New Roman" w:hAnsi="Times New Roman" w:eastAsia="宋体" w:cs="Times New Roman"/>
                <w:bCs/>
                <w:color w:val="000000" w:themeColor="text1"/>
                <w:sz w:val="24"/>
                <w:szCs w:val="22"/>
                <w:highlight w:val="none"/>
                <w:lang w:val="zh-CN"/>
                <w14:textFill>
                  <w14:solidFill>
                    <w14:schemeClr w14:val="tx1"/>
                  </w14:solidFill>
                </w14:textFill>
              </w:rPr>
              <w:t>钢筋等其他原料</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单日最多</w:t>
            </w:r>
            <w:r>
              <w:rPr>
                <w:rFonts w:hint="default" w:ascii="Times New Roman" w:hAnsi="Times New Roman" w:eastAsia="宋体" w:cs="Times New Roman"/>
                <w:color w:val="000000" w:themeColor="text1"/>
                <w:sz w:val="24"/>
                <w:szCs w:val="22"/>
                <w:highlight w:val="none"/>
                <w14:textFill>
                  <w14:solidFill>
                    <w14:schemeClr w14:val="tx1"/>
                  </w14:solidFill>
                </w14:textFill>
              </w:rPr>
              <w:t>运输</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车次为</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r>
              <w:rPr>
                <w:rFonts w:hint="eastAsia" w:ascii="Times New Roman" w:hAnsi="Times New Roman" w:eastAsia="宋体" w:cs="Times New Roman"/>
                <w:bCs/>
                <w:color w:val="000000" w:themeColor="text1"/>
                <w:sz w:val="24"/>
                <w:szCs w:val="22"/>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则本项目原料运输车次约为62</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w:t>
            </w:r>
          </w:p>
          <w:p w14:paraId="00B71A8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olor w:val="000000" w:themeColor="text1"/>
                <w:sz w:val="24"/>
                <w:szCs w:val="21"/>
                <w:highlight w:val="none"/>
                <w:lang w:eastAsia="zh-CN"/>
                <w14:textFill>
                  <w14:solidFill>
                    <w14:schemeClr w14:val="tx1"/>
                  </w14:solidFill>
                </w14:textFill>
              </w:rPr>
            </w:pPr>
            <w:r>
              <w:rPr>
                <w:rFonts w:hint="eastAsia" w:ascii="Times New Roman" w:hAnsi="Times New Roman" w:eastAsia="宋体"/>
                <w:color w:val="000000" w:themeColor="text1"/>
                <w:sz w:val="24"/>
                <w:szCs w:val="21"/>
                <w:highlight w:val="none"/>
                <w:lang w:eastAsia="zh-CN"/>
                <w14:textFill>
                  <w14:solidFill>
                    <w14:schemeClr w14:val="tx1"/>
                  </w14:solidFill>
                </w14:textFill>
              </w:rPr>
              <w:t>本项目原料及成品运输总车次约为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130</w:t>
            </w:r>
            <w:r>
              <w:rPr>
                <w:rFonts w:hint="eastAsia" w:ascii="Times New Roman" w:hAnsi="Times New Roman" w:eastAsia="宋体" w:cs="Times New Roman"/>
                <w:color w:val="000000" w:themeColor="text1"/>
                <w:sz w:val="24"/>
                <w:szCs w:val="22"/>
                <w:highlight w:val="none"/>
                <w:lang w:eastAsia="zh-CN"/>
                <w14:textFill>
                  <w14:solidFill>
                    <w14:schemeClr w14:val="tx1"/>
                  </w14:solidFill>
                </w14:textFill>
              </w:rPr>
              <w:t>车次</w:t>
            </w: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/d。厂区</w:t>
            </w:r>
            <w:r>
              <w:rPr>
                <w:rFonts w:hint="eastAsia" w:ascii="Times New Roman" w:hAnsi="Times New Roman" w:eastAsia="宋体"/>
                <w:color w:val="000000" w:themeColor="text1"/>
                <w:sz w:val="24"/>
                <w:szCs w:val="21"/>
                <w:highlight w:val="none"/>
                <w14:textFill>
                  <w14:solidFill>
                    <w14:schemeClr w14:val="tx1"/>
                  </w14:solidFill>
                </w14:textFill>
              </w:rPr>
              <w:t>对进出车辆轮胎进行喷淋冲洗，避免带泥上路，减少扬尘产生。拌和站设置轮胎清洗机，参照《四川省用水定额》（川府函〔2021〕8号），载重汽车用水量为100L/（辆·次）</w:t>
            </w:r>
            <w:r>
              <w:rPr>
                <w:rFonts w:hint="eastAsia" w:ascii="Times New Roman" w:hAnsi="Times New Roman" w:eastAsia="宋体"/>
                <w:color w:val="000000" w:themeColor="text1"/>
                <w:sz w:val="24"/>
                <w:szCs w:val="21"/>
                <w:highlight w:val="none"/>
                <w:lang w:eastAsia="zh-CN"/>
                <w14:textFill>
                  <w14:solidFill>
                    <w14:schemeClr w14:val="tx1"/>
                  </w14:solidFill>
                </w14:textFill>
              </w:rPr>
              <w:t>，</w:t>
            </w:r>
            <w:r>
              <w:rPr>
                <w:rFonts w:hint="eastAsia" w:ascii="Times New Roman" w:hAnsi="Times New Roman" w:eastAsia="宋体"/>
                <w:color w:val="000000" w:themeColor="text1"/>
                <w:sz w:val="24"/>
                <w:szCs w:val="21"/>
                <w:highlight w:val="none"/>
                <w14:textFill>
                  <w14:solidFill>
                    <w14:schemeClr w14:val="tx1"/>
                  </w14:solidFill>
                </w14:textFill>
              </w:rPr>
              <w:t>则运输车辆冲洗用水量为</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26</w:t>
            </w:r>
            <w:r>
              <w:rPr>
                <w:rFonts w:hint="eastAsia" w:ascii="Times New Roman" w:hAnsi="Times New Roman" w:eastAsia="宋体"/>
                <w:color w:val="000000" w:themeColor="text1"/>
                <w:sz w:val="24"/>
                <w:szCs w:val="21"/>
                <w:highlight w:val="none"/>
                <w14:textFill>
                  <w14:solidFill>
                    <w14:schemeClr w14:val="tx1"/>
                  </w14:solidFill>
                </w14:textFill>
              </w:rPr>
              <w:t>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9100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则冲洗废水量为23.4</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8190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运输车辆冲洗废水经隔油沉淀池（</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25</w:t>
            </w:r>
            <w:r>
              <w:rPr>
                <w:rFonts w:hint="eastAsia" w:ascii="Times New Roman" w:hAnsi="Times New Roman" w:eastAsia="宋体"/>
                <w:color w:val="000000" w:themeColor="text1"/>
                <w:sz w:val="24"/>
                <w:szCs w:val="24"/>
                <w:highlight w:val="none"/>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4"/>
                <w:highlight w:val="none"/>
                <w14:textFill>
                  <w14:solidFill>
                    <w14:schemeClr w14:val="tx1"/>
                  </w14:solidFill>
                </w14:textFill>
              </w:rPr>
              <w:t>）处理后回用于车辆冲洗，不外排</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p w14:paraId="679C23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7</w:t>
            </w:r>
            <w:r>
              <w:rPr>
                <w:rFonts w:hint="eastAsia" w:ascii="Times New Roman" w:hAnsi="Times New Roman" w:eastAsia="宋体"/>
                <w:color w:val="000000" w:themeColor="text1"/>
                <w:sz w:val="24"/>
                <w:szCs w:val="21"/>
                <w:highlight w:val="none"/>
                <w14:textFill>
                  <w14:solidFill>
                    <w14:schemeClr w14:val="tx1"/>
                  </w14:solidFill>
                </w14:textFill>
              </w:rPr>
              <w:t>）地坪冲洗用水</w:t>
            </w:r>
          </w:p>
          <w:p w14:paraId="734DA0F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场站内车辆出入较为频繁，车辆从厂外携带大量的粉尘进入厂内，需定期对道路进行清扫。参照《四川省用水定额》（川府函〔2021〕8号），环境卫生城市道路冲洗用水量为2L/m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·d，冲洗地坪面积约3000m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2</w:t>
            </w:r>
            <w:r>
              <w:rPr>
                <w:rFonts w:hint="eastAsia" w:ascii="Times New Roman" w:hAnsi="Times New Roman" w:eastAsia="宋体"/>
                <w:color w:val="000000" w:themeColor="text1"/>
                <w:sz w:val="24"/>
                <w:szCs w:val="21"/>
                <w:highlight w:val="none"/>
                <w14:textFill>
                  <w14:solidFill>
                    <w14:schemeClr w14:val="tx1"/>
                  </w14:solidFill>
                </w14:textFill>
              </w:rPr>
              <w:t>，地坪冲洗用水量为6m</w:t>
            </w:r>
            <w:r>
              <w:rPr>
                <w:rFonts w:hint="eastAsia" w:ascii="Times New Roman" w:hAnsi="Times New Roman" w:eastAsia="宋体"/>
                <w:color w:val="000000" w:themeColor="text1"/>
                <w:sz w:val="24"/>
                <w:szCs w:val="21"/>
                <w:highlight w:val="none"/>
                <w:vertAlign w:val="superscript"/>
                <w14:textFill>
                  <w14:solidFill>
                    <w14:schemeClr w14:val="tx1"/>
                  </w14:solidFill>
                </w14:textFill>
              </w:rPr>
              <w:t>3</w:t>
            </w:r>
            <w:r>
              <w:rPr>
                <w:rFonts w:hint="eastAsia" w:ascii="Times New Roman" w:hAnsi="Times New Roman" w:eastAsia="宋体"/>
                <w:color w:val="000000" w:themeColor="text1"/>
                <w:sz w:val="24"/>
                <w:szCs w:val="21"/>
                <w:highlight w:val="none"/>
                <w14:textFill>
                  <w14:solidFill>
                    <w14:schemeClr w14:val="tx1"/>
                  </w14:solidFill>
                </w14:textFill>
              </w:rPr>
              <w:t>/d，2100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8</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计算，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则</w:t>
            </w:r>
            <w:r>
              <w:rPr>
                <w:rFonts w:hint="eastAsia" w:ascii="Times New Roman" w:hAnsi="Times New Roman" w:eastAsia="宋体"/>
                <w:color w:val="000000" w:themeColor="text1"/>
                <w:sz w:val="24"/>
                <w:szCs w:val="21"/>
                <w:highlight w:val="none"/>
                <w14:textFill>
                  <w14:solidFill>
                    <w14:schemeClr w14:val="tx1"/>
                  </w14:solidFill>
                </w14:textFill>
              </w:rPr>
              <w:t>地坪冲洗</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废水量为4.8</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/d，</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1680</w:t>
            </w:r>
            <w:r>
              <w:rPr>
                <w:rFonts w:ascii="Times New Roman" w:hAnsi="Times New Roman" w:eastAsia="宋体"/>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vertAlign w:val="superscript"/>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/a</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经砂石分离器</w:t>
            </w:r>
            <w:r>
              <w:rPr>
                <w:rFonts w:hint="eastAsia" w:ascii="Times New Roman" w:hAnsi="Times New Roman" w:eastAsia="宋体"/>
                <w:color w:val="000000" w:themeColor="text1"/>
                <w:sz w:val="24"/>
                <w:szCs w:val="24"/>
                <w:highlight w:val="none"/>
                <w:lang w:eastAsia="zh-CN"/>
                <w14:textFill>
                  <w14:solidFill>
                    <w14:schemeClr w14:val="tx1"/>
                  </w14:solidFill>
                </w14:textFill>
              </w:rPr>
              <w:t>处理</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后进入五级沉淀池（</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200</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），同时添加絮凝沉淀剂（PAM、PAC），上清液回用于厂区清洗及抑尘用水。</w:t>
            </w:r>
          </w:p>
          <w:p w14:paraId="7079631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eastAsia" w:ascii="Times New Roman" w:hAnsi="Times New Roman" w:eastAsia="宋体"/>
                <w:color w:val="000000" w:themeColor="text1"/>
                <w:sz w:val="24"/>
                <w:szCs w:val="21"/>
                <w:highlight w:val="none"/>
                <w14:textFill>
                  <w14:solidFill>
                    <w14:schemeClr w14:val="tx1"/>
                  </w14:solidFill>
                </w14:textFill>
              </w:rPr>
              <w:t>（</w:t>
            </w:r>
            <w:r>
              <w:rPr>
                <w:rFonts w:hint="eastAsia" w:ascii="Times New Roman" w:hAnsi="Times New Roman" w:eastAsia="宋体"/>
                <w:color w:val="000000" w:themeColor="text1"/>
                <w:sz w:val="24"/>
                <w:szCs w:val="21"/>
                <w:highlight w:val="none"/>
                <w:lang w:val="en-US" w:eastAsia="zh-CN"/>
                <w14:textFill>
                  <w14:solidFill>
                    <w14:schemeClr w14:val="tx1"/>
                  </w14:solidFill>
                </w14:textFill>
              </w:rPr>
              <w:t>8</w:t>
            </w:r>
            <w:r>
              <w:rPr>
                <w:rFonts w:hint="eastAsia" w:ascii="Times New Roman" w:hAnsi="Times New Roman" w:eastAsia="宋体"/>
                <w:color w:val="000000" w:themeColor="text1"/>
                <w:sz w:val="24"/>
                <w:szCs w:val="21"/>
                <w:highlight w:val="none"/>
                <w14:textFill>
                  <w14:solidFill>
                    <w14:schemeClr w14:val="tx1"/>
                  </w14:solidFill>
                </w14:textFill>
              </w:rPr>
              <w:t>）降尘用水</w:t>
            </w:r>
          </w:p>
          <w:p w14:paraId="20504F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olor w:val="000000" w:themeColor="text1"/>
                <w:sz w:val="24"/>
                <w:szCs w:val="21"/>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搅拌楼、</w:t>
            </w:r>
            <w:r>
              <w:rPr>
                <w:rFonts w:hint="default" w:ascii="Times New Roman" w:hAnsi="Times New Roman" w:eastAsia="宋体" w:cs="Times New Roman"/>
                <w:color w:val="000000" w:themeColor="text1"/>
                <w:sz w:val="24"/>
                <w:szCs w:val="24"/>
                <w:highlight w:val="none"/>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、皮带输送进料口均</w:t>
            </w:r>
            <w:r>
              <w:rPr>
                <w:rFonts w:hint="default" w:ascii="Times New Roman" w:hAnsi="Times New Roman" w:eastAsia="宋体" w:cs="Times New Roman"/>
                <w:color w:val="000000" w:themeColor="text1"/>
                <w:sz w:val="24"/>
                <w:szCs w:val="24"/>
                <w:highlight w:val="none"/>
                <w14:textFill>
                  <w14:solidFill>
                    <w14:schemeClr w14:val="tx1"/>
                  </w14:solidFill>
                </w14:textFill>
              </w:rPr>
              <w:t>设置喷雾装置进</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行</w:t>
            </w:r>
            <w:r>
              <w:rPr>
                <w:rFonts w:hint="default" w:ascii="Times New Roman" w:hAnsi="Times New Roman" w:eastAsia="宋体" w:cs="Times New Roman"/>
                <w:color w:val="000000" w:themeColor="text1"/>
                <w:sz w:val="24"/>
                <w:szCs w:val="24"/>
                <w:highlight w:val="none"/>
                <w14:textFill>
                  <w14:solidFill>
                    <w14:schemeClr w14:val="tx1"/>
                  </w14:solidFill>
                </w14:textFill>
              </w:rPr>
              <w:t>除尘，同时厂区</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设置除尘雾炮机</w:t>
            </w:r>
            <w:r>
              <w:rPr>
                <w:rFonts w:hint="default" w:ascii="Times New Roman" w:hAnsi="Times New Roman" w:eastAsia="宋体" w:cs="Times New Roman"/>
                <w:color w:val="000000" w:themeColor="text1"/>
                <w:sz w:val="24"/>
                <w:szCs w:val="24"/>
                <w:highlight w:val="none"/>
                <w14:textFill>
                  <w14:solidFill>
                    <w14:schemeClr w14:val="tx1"/>
                  </w14:solidFill>
                </w14:textFill>
              </w:rPr>
              <w:t>进行洒水抑尘，</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设置洒水车进行道路抑尘。砂石料仓喷雾装置</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用水量约为0.0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每个</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砂石料仓</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23个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）内</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安装</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每个搅拌楼内安装一个喷雾点</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，每个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皮带输送进料口</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安装一个喷雾点</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4个</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共</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个喷雾点</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每日开启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小时，</w:t>
            </w:r>
            <w:r>
              <w:rPr>
                <w:rFonts w:hint="default" w:ascii="Times New Roman" w:hAnsi="Times New Roman" w:eastAsia="宋体" w:cs="Times New Roman"/>
                <w:color w:val="000000" w:themeColor="text1"/>
                <w:sz w:val="24"/>
                <w:szCs w:val="24"/>
                <w:highlight w:val="none"/>
                <w14:textFill>
                  <w14:solidFill>
                    <w14:schemeClr w14:val="tx1"/>
                  </w14:solidFill>
                </w14:textFill>
              </w:rPr>
              <w:t>则抑尘用水约为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5320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）。厂区内共设置</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台</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除尘雾炮机，每台除尘雾炮机用水量约为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h，每日开启2小时，则雾炮机用水量为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3150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）。厂区内配备</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辆洒水车，每日进行运输道路洒水抑尘，每辆洒水车用水量约为10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，则道路抑尘用水量为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3500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降尘用水全部蒸发损耗。</w:t>
            </w:r>
          </w:p>
          <w:p w14:paraId="5DD6CC1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2、生活污水（含食堂废水）及处理措施</w:t>
            </w:r>
          </w:p>
          <w:p w14:paraId="5C35744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项目共有</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160</w:t>
            </w:r>
            <w:r>
              <w:rPr>
                <w:rFonts w:hint="default" w:ascii="Times New Roman" w:hAnsi="Times New Roman" w:eastAsia="宋体" w:cs="Times New Roman"/>
                <w:color w:val="000000" w:themeColor="text1"/>
                <w:sz w:val="24"/>
                <w:szCs w:val="24"/>
                <w:highlight w:val="none"/>
                <w14:textFill>
                  <w14:solidFill>
                    <w14:schemeClr w14:val="tx1"/>
                  </w14:solidFill>
                </w14:textFill>
              </w:rPr>
              <w:t>名员工，均在项目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生活区</w:t>
            </w:r>
            <w:r>
              <w:rPr>
                <w:rFonts w:hint="default" w:ascii="Times New Roman" w:hAnsi="Times New Roman" w:eastAsia="宋体" w:cs="Times New Roman"/>
                <w:color w:val="000000" w:themeColor="text1"/>
                <w:sz w:val="24"/>
                <w:szCs w:val="24"/>
                <w:highlight w:val="none"/>
                <w14:textFill>
                  <w14:solidFill>
                    <w14:schemeClr w14:val="tx1"/>
                  </w14:solidFill>
                </w14:textFill>
              </w:rPr>
              <w:t>食宿</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。参照</w:t>
            </w:r>
            <w:r>
              <w:rPr>
                <w:rFonts w:hint="default" w:ascii="Times New Roman" w:hAnsi="Times New Roman" w:eastAsia="宋体" w:cs="Times New Roman"/>
                <w:color w:val="000000" w:themeColor="text1"/>
                <w:sz w:val="24"/>
                <w:highlight w:val="none"/>
                <w14:textFill>
                  <w14:solidFill>
                    <w14:schemeClr w14:val="tx1"/>
                  </w14:solidFill>
                </w14:textFill>
              </w:rPr>
              <w:t>《四川省用水定额》（川府函〔2021〕8号）制定的各项用水定额</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员工</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用水定额</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14:textFill>
                  <w14:solidFill>
                    <w14:schemeClr w14:val="tx1"/>
                  </w14:solidFill>
                </w14:textFill>
              </w:rPr>
              <w:t>0L/人·d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14:textFill>
                  <w14:solidFill>
                    <w14:schemeClr w14:val="tx1"/>
                  </w14:solidFill>
                </w14:textFill>
              </w:rPr>
              <w:t>L/人·d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故项目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9.6</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3360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餐饮用水量</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1680</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废水产生量按照用水量的0.8计算，则项目生活污水产生量约为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7.68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2688</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2"/>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3.84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1344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1F16603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餐饮废水量为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3.84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1344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，经食堂内设置油水分离器</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有效</w:t>
            </w:r>
            <w:r>
              <w:rPr>
                <w:rFonts w:hint="default" w:ascii="Times New Roman" w:hAnsi="Times New Roman" w:eastAsia="宋体" w:cs="Times New Roman"/>
                <w:color w:val="000000" w:themeColor="text1"/>
                <w:sz w:val="24"/>
                <w:szCs w:val="24"/>
                <w:highlight w:val="none"/>
                <w14:textFill>
                  <w14:solidFill>
                    <w14:schemeClr w14:val="tx1"/>
                  </w14:solidFill>
                </w14:textFill>
              </w:rPr>
              <w:t>容积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除油后排入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全厂生活污水量为11.52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4032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/a</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（含经隔油处理餐饮废水）</w:t>
            </w:r>
            <w:r>
              <w:rPr>
                <w:rFonts w:hint="eastAsia" w:ascii="Times New Roman" w:hAnsi="Times New Roman" w:eastAsia="宋体"/>
                <w:color w:val="000000" w:themeColor="text1"/>
                <w:sz w:val="24"/>
                <w:szCs w:val="24"/>
                <w:highlight w:val="none"/>
                <w:lang w:eastAsia="zh-CN"/>
                <w14:textFill>
                  <w14:solidFill>
                    <w14:schemeClr w14:val="tx1"/>
                  </w14:solidFill>
                </w14:textFill>
              </w:rPr>
              <w:t>，全部</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排入</w:t>
            </w:r>
            <w:r>
              <w:rPr>
                <w:rFonts w:hint="default" w:ascii="Times New Roman" w:hAnsi="Times New Roman" w:eastAsia="宋体" w:cs="Times New Roman"/>
                <w:color w:val="000000" w:themeColor="text1"/>
                <w:sz w:val="24"/>
                <w:szCs w:val="24"/>
                <w:highlight w:val="none"/>
                <w14:textFill>
                  <w14:solidFill>
                    <w14:schemeClr w14:val="tx1"/>
                  </w14:solidFill>
                </w14:textFill>
              </w:rPr>
              <w:t>化粪池（容积分别为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14:textFill>
                  <w14:solidFill>
                    <w14:schemeClr w14:val="tx1"/>
                  </w14:solidFill>
                </w14:textFill>
              </w:rPr>
              <w:t>0m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），经化粪池处理后进入宝梵污水处理厂。</w:t>
            </w:r>
          </w:p>
          <w:p w14:paraId="6055FC1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3、初期雨水及处理措施</w:t>
            </w:r>
          </w:p>
          <w:p w14:paraId="6D5BC5F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由于原辅材料、成品在运输过程中的跑、冒、滴、漏，对厂区内道路路面和地面的清洁度会造成一定程度的污染，主要为颗粒物，经运输车辆不断反复碾压后变成细微粉尘颗粒物，在晴天，运输车辆行驶过程中容易产生车辆运输扬尘。在雨天，经过雨水地表径流冲洗后，产生的初期雨水含有污泥，不可以直接外排，须经处理后回用。</w:t>
            </w:r>
          </w:p>
          <w:p w14:paraId="6AD78C9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遂宁地区未发表设计暴雨强度公式，本次环评参考《南充市城区暴雨强度公式探讨》（彭愈满，四川南充水利电力建筑勘察设计研究院），暴雨强度公式为：</w:t>
            </w:r>
          </w:p>
          <w:p w14:paraId="4ABB190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0" w:firstLineChars="0"/>
              <w:jc w:val="center"/>
              <w:textAlignment w:val="auto"/>
              <w:rPr>
                <w:rFonts w:hint="eastAsia"/>
                <w:color w:val="000000" w:themeColor="text1"/>
                <w:sz w:val="24"/>
                <w:szCs w:val="24"/>
                <w:highlight w:val="none"/>
                <w14:textFill>
                  <w14:solidFill>
                    <w14:schemeClr w14:val="tx1"/>
                  </w14:solidFill>
                </w14:textFill>
              </w:rPr>
            </w:pPr>
            <w:r>
              <w:rPr>
                <w:color w:val="000000" w:themeColor="text1"/>
                <w:kern w:val="0"/>
                <w:sz w:val="24"/>
                <w:szCs w:val="24"/>
                <w:highlight w:val="none"/>
                <w14:textFill>
                  <w14:solidFill>
                    <w14:schemeClr w14:val="tx1"/>
                  </w14:solidFill>
                </w14:textFill>
              </w:rPr>
              <w:drawing>
                <wp:inline distT="0" distB="0" distL="0" distR="0">
                  <wp:extent cx="2284730" cy="560705"/>
                  <wp:effectExtent l="0" t="0" r="1270" b="10795"/>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291852" cy="562418"/>
                          </a:xfrm>
                          <a:prstGeom prst="rect">
                            <a:avLst/>
                          </a:prstGeom>
                          <a:noFill/>
                          <a:ln>
                            <a:noFill/>
                          </a:ln>
                        </pic:spPr>
                      </pic:pic>
                    </a:graphicData>
                  </a:graphic>
                </wp:inline>
              </w:drawing>
            </w:r>
          </w:p>
          <w:p w14:paraId="6FC10F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式中，q——设计暴雨强度，L/（s·hm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21E6F07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t——设计降雨历时，min，按</w:t>
            </w:r>
            <w:r>
              <w:rPr>
                <w:rFonts w:hint="eastAsia"/>
                <w:color w:val="000000" w:themeColor="text1"/>
                <w:sz w:val="24"/>
                <w:szCs w:val="24"/>
                <w:highlight w:val="none"/>
                <w:lang w:val="en-US" w:eastAsia="zh-CN"/>
                <w14:textFill>
                  <w14:solidFill>
                    <w14:schemeClr w14:val="tx1"/>
                  </w14:solidFill>
                </w14:textFill>
              </w:rPr>
              <w:t>60</w:t>
            </w:r>
            <w:r>
              <w:rPr>
                <w:rFonts w:hint="eastAsia"/>
                <w:color w:val="000000" w:themeColor="text1"/>
                <w:sz w:val="24"/>
                <w:szCs w:val="24"/>
                <w:highlight w:val="none"/>
                <w14:textFill>
                  <w14:solidFill>
                    <w14:schemeClr w14:val="tx1"/>
                  </w14:solidFill>
                </w14:textFill>
              </w:rPr>
              <w:t>min计；</w:t>
            </w:r>
          </w:p>
          <w:p w14:paraId="4594E60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P——设计重现期，年，按2年计。</w:t>
            </w:r>
          </w:p>
          <w:p w14:paraId="1A95040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根据计算可知，区域暴雨强度q为</w:t>
            </w:r>
            <w:r>
              <w:rPr>
                <w:rFonts w:hint="eastAsia"/>
                <w:color w:val="000000" w:themeColor="text1"/>
                <w:sz w:val="24"/>
                <w:szCs w:val="24"/>
                <w:highlight w:val="none"/>
                <w:lang w:val="en-US" w:eastAsia="zh-CN"/>
                <w14:textFill>
                  <w14:solidFill>
                    <w14:schemeClr w14:val="tx1"/>
                  </w14:solidFill>
                </w14:textFill>
              </w:rPr>
              <w:t>158.83</w:t>
            </w:r>
            <w:r>
              <w:rPr>
                <w:rFonts w:hint="eastAsia"/>
                <w:color w:val="000000" w:themeColor="text1"/>
                <w:sz w:val="24"/>
                <w:szCs w:val="24"/>
                <w:highlight w:val="none"/>
                <w14:textFill>
                  <w14:solidFill>
                    <w14:schemeClr w14:val="tx1"/>
                  </w14:solidFill>
                </w14:textFill>
              </w:rPr>
              <w:t>L/（s·hm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拟建项目总占地面积为</w:t>
            </w:r>
            <w:r>
              <w:rPr>
                <w:rFonts w:hint="eastAsia"/>
                <w:color w:val="000000" w:themeColor="text1"/>
                <w:sz w:val="24"/>
                <w:szCs w:val="24"/>
                <w:highlight w:val="none"/>
                <w:lang w:val="en-US" w:eastAsia="zh-CN"/>
                <w14:textFill>
                  <w14:solidFill>
                    <w14:schemeClr w14:val="tx1"/>
                  </w14:solidFill>
                </w14:textFill>
              </w:rPr>
              <w:t>59860m</w:t>
            </w:r>
            <w:r>
              <w:rPr>
                <w:rFonts w:hint="eastAsia"/>
                <w:color w:val="000000" w:themeColor="text1"/>
                <w:sz w:val="24"/>
                <w:szCs w:val="24"/>
                <w:highlight w:val="none"/>
                <w:vertAlign w:val="superscript"/>
                <w:lang w:val="en-US" w:eastAsia="zh-CN"/>
                <w14:textFill>
                  <w14:solidFill>
                    <w14:schemeClr w14:val="tx1"/>
                  </w14:solidFill>
                </w14:textFill>
              </w:rPr>
              <w:t>2</w:t>
            </w:r>
            <w:r>
              <w:rPr>
                <w:rFonts w:hint="eastAsia"/>
                <w:color w:val="000000" w:themeColor="text1"/>
                <w:sz w:val="24"/>
                <w:szCs w:val="24"/>
                <w:highlight w:val="none"/>
                <w:lang w:val="en-US" w:eastAsia="zh-CN"/>
                <w14:textFill>
                  <w14:solidFill>
                    <w14:schemeClr w14:val="tx1"/>
                  </w14:solidFill>
                </w14:textFill>
              </w:rPr>
              <w:t>，汇水面积约5.986hm</w:t>
            </w:r>
            <w:r>
              <w:rPr>
                <w:rFonts w:hint="eastAsia"/>
                <w:color w:val="000000" w:themeColor="text1"/>
                <w:sz w:val="24"/>
                <w:szCs w:val="24"/>
                <w:highlight w:val="none"/>
                <w:vertAlign w:val="superscript"/>
                <w:lang w:val="en-US" w:eastAsia="zh-CN"/>
                <w14:textFill>
                  <w14:solidFill>
                    <w14:schemeClr w14:val="tx1"/>
                  </w14:solidFill>
                </w14:textFill>
              </w:rPr>
              <w:t>2</w:t>
            </w:r>
            <w:r>
              <w:rPr>
                <w:rFonts w:hint="eastAsia"/>
                <w:color w:val="000000" w:themeColor="text1"/>
                <w:sz w:val="24"/>
                <w:szCs w:val="24"/>
                <w:highlight w:val="none"/>
                <w:lang w:val="en-US" w:eastAsia="zh-CN"/>
                <w14:textFill>
                  <w14:solidFill>
                    <w14:schemeClr w14:val="tx1"/>
                  </w14:solidFill>
                </w14:textFill>
              </w:rPr>
              <w:t>，考虑一次暴雨最大初期雨水量，根据《室外排水设计规范》（GB50014－2006）（修订），雨水设计流量应按下列公式计算：</w:t>
            </w:r>
          </w:p>
          <w:p w14:paraId="7D963B8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highlight w:val="none"/>
                <w14:textFill>
                  <w14:solidFill>
                    <w14:schemeClr w14:val="tx1"/>
                  </w14:solidFill>
                </w14:textFill>
              </w:rPr>
            </w:pPr>
            <w:r>
              <w:rPr>
                <w:color w:val="000000" w:themeColor="text1"/>
                <w:position w:val="-10"/>
                <w:highlight w:val="none"/>
                <w14:textFill>
                  <w14:solidFill>
                    <w14:schemeClr w14:val="tx1"/>
                  </w14:solidFill>
                </w14:textFill>
              </w:rPr>
              <w:object>
                <v:shape id="_x0000_i1032" o:spt="75" type="#_x0000_t75" style="height:16pt;width:65pt;" o:ole="t" filled="f" o:preferrelative="t" stroked="f" coordsize="21600,21600">
                  <v:path/>
                  <v:fill on="f" focussize="0,0"/>
                  <v:stroke on="f"/>
                  <v:imagedata r:id="rId33" o:title=""/>
                  <o:lock v:ext="edit" aspectratio="t"/>
                  <w10:wrap type="none"/>
                  <w10:anchorlock/>
                </v:shape>
                <o:OLEObject Type="Embed" ProgID="Equation.KSEE3" ShapeID="_x0000_i1032" DrawAspect="Content" ObjectID="_1468075732" r:id="rId32">
                  <o:LockedField>false</o:LockedField>
                </o:OLEObject>
              </w:object>
            </w:r>
          </w:p>
          <w:p w14:paraId="1C1F405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式中：Q——雨水流量，L/s；</w:t>
            </w:r>
          </w:p>
          <w:p w14:paraId="41B1736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q——设计暴雨强度（L/s•hm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2683EEF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F——汇水面积，hm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，约</w:t>
            </w:r>
            <w:r>
              <w:rPr>
                <w:rFonts w:hint="eastAsia"/>
                <w:color w:val="000000" w:themeColor="text1"/>
                <w:sz w:val="24"/>
                <w:szCs w:val="24"/>
                <w:highlight w:val="none"/>
                <w:lang w:val="en-US" w:eastAsia="zh-CN"/>
                <w14:textFill>
                  <w14:solidFill>
                    <w14:schemeClr w14:val="tx1"/>
                  </w14:solidFill>
                </w14:textFill>
              </w:rPr>
              <w:t>5.986</w:t>
            </w:r>
            <w:r>
              <w:rPr>
                <w:rFonts w:hint="eastAsia"/>
                <w:color w:val="000000" w:themeColor="text1"/>
                <w:sz w:val="24"/>
                <w:szCs w:val="24"/>
                <w:highlight w:val="none"/>
                <w14:textFill>
                  <w14:solidFill>
                    <w14:schemeClr w14:val="tx1"/>
                  </w14:solidFill>
                </w14:textFill>
              </w:rPr>
              <w:t>hm</w:t>
            </w:r>
            <w:r>
              <w:rPr>
                <w:rFonts w:hint="eastAsia"/>
                <w:color w:val="000000" w:themeColor="text1"/>
                <w:sz w:val="24"/>
                <w:szCs w:val="24"/>
                <w:highlight w:val="none"/>
                <w:vertAlign w:val="superscript"/>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p>
          <w:p w14:paraId="45E46D1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Φ——流量系数，各种屋面、混凝土或沥青路面为0.85~0.95</w:t>
            </w:r>
            <w:r>
              <w:rPr>
                <w:rFonts w:hint="eastAsia"/>
                <w:color w:val="000000" w:themeColor="text1"/>
                <w:sz w:val="24"/>
                <w:szCs w:val="24"/>
                <w:highlight w:val="none"/>
                <w:lang w:eastAsia="zh-CN"/>
                <w14:textFill>
                  <w14:solidFill>
                    <w14:schemeClr w14:val="tx1"/>
                  </w14:solidFill>
                </w14:textFill>
              </w:rPr>
              <w:t>，本项目</w:t>
            </w:r>
            <w:r>
              <w:rPr>
                <w:rFonts w:hint="eastAsia"/>
                <w:color w:val="000000" w:themeColor="text1"/>
                <w:sz w:val="24"/>
                <w:szCs w:val="24"/>
                <w:highlight w:val="none"/>
                <w14:textFill>
                  <w14:solidFill>
                    <w14:schemeClr w14:val="tx1"/>
                  </w14:solidFill>
                </w14:textFill>
              </w:rPr>
              <w:t>取0.9。</w:t>
            </w:r>
          </w:p>
          <w:p w14:paraId="4DD95EA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根据计算，</w:t>
            </w:r>
            <w:r>
              <w:rPr>
                <w:rFonts w:hint="eastAsia"/>
                <w:color w:val="000000" w:themeColor="text1"/>
                <w:sz w:val="24"/>
                <w:highlight w:val="none"/>
                <w14:textFill>
                  <w14:solidFill>
                    <w14:schemeClr w14:val="tx1"/>
                  </w14:solidFill>
                </w14:textFill>
              </w:rPr>
              <w:t>项目雨水流量为</w:t>
            </w:r>
            <w:r>
              <w:rPr>
                <w:rFonts w:hint="eastAsia"/>
                <w:color w:val="000000" w:themeColor="text1"/>
                <w:sz w:val="24"/>
                <w:highlight w:val="none"/>
                <w:lang w:val="en-US" w:eastAsia="zh-CN"/>
                <w14:textFill>
                  <w14:solidFill>
                    <w14:schemeClr w14:val="tx1"/>
                  </w14:solidFill>
                </w14:textFill>
              </w:rPr>
              <w:t>855.68</w:t>
            </w:r>
            <w:r>
              <w:rPr>
                <w:rFonts w:hint="eastAsia"/>
                <w:color w:val="000000" w:themeColor="text1"/>
                <w:sz w:val="24"/>
                <w:highlight w:val="none"/>
                <w14:textFill>
                  <w14:solidFill>
                    <w14:schemeClr w14:val="tx1"/>
                  </w14:solidFill>
                </w14:textFill>
              </w:rPr>
              <w:t>L/s，本项目初期降雨收集时间取</w:t>
            </w:r>
            <w:r>
              <w:rPr>
                <w:rFonts w:hint="eastAsia"/>
                <w:color w:val="000000" w:themeColor="text1"/>
                <w:sz w:val="24"/>
                <w:highlight w:val="none"/>
                <w:lang w:val="en-US" w:eastAsia="zh-CN"/>
                <w14:textFill>
                  <w14:solidFill>
                    <w14:schemeClr w14:val="tx1"/>
                  </w14:solidFill>
                </w14:textFill>
              </w:rPr>
              <w:t>5</w:t>
            </w:r>
            <w:r>
              <w:rPr>
                <w:rFonts w:hint="eastAsia"/>
                <w:color w:val="000000" w:themeColor="text1"/>
                <w:sz w:val="24"/>
                <w:highlight w:val="none"/>
                <w14:textFill>
                  <w14:solidFill>
                    <w14:schemeClr w14:val="tx1"/>
                  </w14:solidFill>
                </w14:textFill>
              </w:rPr>
              <w:t>分钟，收集的初期雨水量为</w:t>
            </w:r>
            <w:r>
              <w:rPr>
                <w:rFonts w:hint="eastAsia"/>
                <w:color w:val="000000" w:themeColor="text1"/>
                <w:sz w:val="24"/>
                <w:highlight w:val="none"/>
                <w:lang w:val="en-US" w:eastAsia="zh-CN"/>
                <w14:textFill>
                  <w14:solidFill>
                    <w14:schemeClr w14:val="tx1"/>
                  </w14:solidFill>
                </w14:textFill>
              </w:rPr>
              <w:t>256.7</w:t>
            </w:r>
            <w:r>
              <w:rPr>
                <w:rFonts w:hint="eastAsia"/>
                <w:color w:val="000000" w:themeColor="text1"/>
                <w:sz w:val="24"/>
                <w:highlight w:val="none"/>
                <w14:textFill>
                  <w14:solidFill>
                    <w14:schemeClr w14:val="tx1"/>
                  </w14:solidFill>
                </w14:textFill>
              </w:rPr>
              <w:t>m</w:t>
            </w:r>
            <w:r>
              <w:rPr>
                <w:rFonts w:hint="eastAsia"/>
                <w:color w:val="000000" w:themeColor="text1"/>
                <w:sz w:val="24"/>
                <w:highlight w:val="none"/>
                <w:vertAlign w:val="superscript"/>
                <w14:textFill>
                  <w14:solidFill>
                    <w14:schemeClr w14:val="tx1"/>
                  </w14:solidFill>
                </w14:textFill>
              </w:rPr>
              <w:t>3</w:t>
            </w:r>
            <w:r>
              <w:rPr>
                <w:rFonts w:hint="eastAsia"/>
                <w:color w:val="000000" w:themeColor="text1"/>
                <w:sz w:val="24"/>
                <w:highlight w:val="none"/>
                <w14:textFill>
                  <w14:solidFill>
                    <w14:schemeClr w14:val="tx1"/>
                  </w14:solidFill>
                </w14:textFill>
              </w:rPr>
              <w:t>/次</w:t>
            </w:r>
            <w:r>
              <w:rPr>
                <w:rFonts w:hint="eastAsia"/>
                <w:color w:val="000000" w:themeColor="text1"/>
                <w:sz w:val="24"/>
                <w:highlight w:val="none"/>
                <w:lang w:eastAsia="zh-CN"/>
                <w14:textFill>
                  <w14:solidFill>
                    <w14:schemeClr w14:val="tx1"/>
                  </w14:solidFill>
                </w14:textFill>
              </w:rPr>
              <w:t>。</w:t>
            </w:r>
          </w:p>
          <w:p w14:paraId="7F7E9BC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治理措施：环评要求本项目在区四周修建截排水沟，在地势低洼处修建</w:t>
            </w:r>
            <w:r>
              <w:rPr>
                <w:rFonts w:hint="eastAsia"/>
                <w:color w:val="000000" w:themeColor="text1"/>
                <w:sz w:val="24"/>
                <w:highlight w:val="none"/>
                <w:lang w:eastAsia="zh-CN"/>
                <w14:textFill>
                  <w14:solidFill>
                    <w14:schemeClr w14:val="tx1"/>
                  </w14:solidFill>
                </w14:textFill>
              </w:rPr>
              <w:t>雨水收集池（</w:t>
            </w:r>
            <w:r>
              <w:rPr>
                <w:rFonts w:hint="eastAsia"/>
                <w:color w:val="000000" w:themeColor="text1"/>
                <w:sz w:val="24"/>
                <w:szCs w:val="24"/>
                <w:highlight w:val="none"/>
                <w14:textFill>
                  <w14:solidFill>
                    <w14:schemeClr w14:val="tx1"/>
                  </w14:solidFill>
                </w14:textFill>
              </w:rPr>
              <w:t>容积</w:t>
            </w:r>
            <w:r>
              <w:rPr>
                <w:rFonts w:hint="eastAsia"/>
                <w:color w:val="000000" w:themeColor="text1"/>
                <w:sz w:val="24"/>
                <w:szCs w:val="24"/>
                <w:highlight w:val="none"/>
                <w:lang w:val="en-US" w:eastAsia="zh-CN"/>
                <w14:textFill>
                  <w14:solidFill>
                    <w14:schemeClr w14:val="tx1"/>
                  </w14:solidFill>
                </w14:textFill>
              </w:rPr>
              <w:t>300</w:t>
            </w:r>
            <w:r>
              <w:rPr>
                <w:rFonts w:hint="eastAsia"/>
                <w:color w:val="000000" w:themeColor="text1"/>
                <w:sz w:val="24"/>
                <w:szCs w:val="24"/>
                <w:highlight w:val="none"/>
                <w14:textFill>
                  <w14:solidFill>
                    <w14:schemeClr w14:val="tx1"/>
                  </w14:solidFill>
                </w14:textFill>
              </w:rPr>
              <w:t>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highlight w:val="none"/>
                <w:lang w:eastAsia="zh-CN"/>
                <w14:textFill>
                  <w14:solidFill>
                    <w14:schemeClr w14:val="tx1"/>
                  </w14:solidFill>
                </w14:textFill>
              </w:rPr>
              <w:t>）</w:t>
            </w:r>
            <w:r>
              <w:rPr>
                <w:rFonts w:hint="eastAsia"/>
                <w:color w:val="000000" w:themeColor="text1"/>
                <w:sz w:val="24"/>
                <w:highlight w:val="none"/>
                <w14:textFill>
                  <w14:solidFill>
                    <w14:schemeClr w14:val="tx1"/>
                  </w14:solidFill>
                </w14:textFill>
              </w:rPr>
              <w:t>，排水沟连接到</w:t>
            </w:r>
            <w:r>
              <w:rPr>
                <w:rFonts w:hint="eastAsia"/>
                <w:color w:val="000000" w:themeColor="text1"/>
                <w:sz w:val="24"/>
                <w:highlight w:val="none"/>
                <w:lang w:eastAsia="zh-CN"/>
                <w14:textFill>
                  <w14:solidFill>
                    <w14:schemeClr w14:val="tx1"/>
                  </w14:solidFill>
                </w14:textFill>
              </w:rPr>
              <w:t>雨水收集池</w:t>
            </w:r>
            <w:r>
              <w:rPr>
                <w:rFonts w:hint="eastAsia"/>
                <w:color w:val="000000" w:themeColor="text1"/>
                <w:sz w:val="24"/>
                <w:highlight w:val="none"/>
                <w14:textFill>
                  <w14:solidFill>
                    <w14:schemeClr w14:val="tx1"/>
                  </w14:solidFill>
                </w14:textFill>
              </w:rPr>
              <w:t>，对初期雨水进行沉淀后回用于生产。</w:t>
            </w:r>
            <w:r>
              <w:rPr>
                <w:rFonts w:hint="eastAsia"/>
                <w:color w:val="000000" w:themeColor="text1"/>
                <w:sz w:val="24"/>
                <w:highlight w:val="none"/>
                <w:lang w:eastAsia="zh-CN"/>
                <w14:textFill>
                  <w14:solidFill>
                    <w14:schemeClr w14:val="tx1"/>
                  </w14:solidFill>
                </w14:textFill>
              </w:rPr>
              <w:t>在项目雨水排口前设切换井，雨水排口切换井设两个出口，一个出口与雨水收集池相连，一个出口与厂区外雨水沟相通。当降雨时，关闭阀门，初期雨水经雨水沟收集，进入项目雨水收集池。一段时间（一般</w:t>
            </w:r>
            <w:r>
              <w:rPr>
                <w:rFonts w:hint="eastAsia"/>
                <w:color w:val="000000" w:themeColor="text1"/>
                <w:sz w:val="24"/>
                <w:highlight w:val="none"/>
                <w:lang w:val="en-US" w:eastAsia="zh-CN"/>
                <w14:textFill>
                  <w14:solidFill>
                    <w14:schemeClr w14:val="tx1"/>
                  </w14:solidFill>
                </w14:textFill>
              </w:rPr>
              <w:t>15</w:t>
            </w:r>
            <w:r>
              <w:rPr>
                <w:rFonts w:hint="eastAsia"/>
                <w:color w:val="000000" w:themeColor="text1"/>
                <w:sz w:val="24"/>
                <w:highlight w:val="none"/>
                <w:lang w:eastAsia="zh-CN"/>
                <w14:textFill>
                  <w14:solidFill>
                    <w14:schemeClr w14:val="tx1"/>
                  </w14:solidFill>
                </w14:textFill>
              </w:rPr>
              <w:t>min）后手动切换阀门，后期雨水由雨水沟排出项目厂外。</w:t>
            </w:r>
          </w:p>
          <w:p w14:paraId="73F2F06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4、废水处理措施可行性分析</w:t>
            </w:r>
          </w:p>
          <w:p w14:paraId="0493574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（1）</w:t>
            </w:r>
            <w:r>
              <w:rPr>
                <w:rFonts w:hint="eastAsia"/>
                <w:color w:val="000000" w:themeColor="text1"/>
                <w:sz w:val="24"/>
                <w:szCs w:val="24"/>
                <w:highlight w:val="none"/>
                <w:lang w:eastAsia="zh-CN"/>
                <w14:textFill>
                  <w14:solidFill>
                    <w14:schemeClr w14:val="tx1"/>
                  </w14:solidFill>
                </w14:textFill>
              </w:rPr>
              <w:t>生活污水处理措施可行性分析</w:t>
            </w:r>
          </w:p>
          <w:p w14:paraId="2BBB04C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化粪池是处理粪便并加以过滤沉淀的设备。其原理是固化物在池底分解，上层的水化物体，进入管道流走，防止了管道堵塞，给固化物体有充足的时间水解。</w:t>
            </w:r>
          </w:p>
          <w:p w14:paraId="7E90A0D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本项目设置</w:t>
            </w:r>
            <w:r>
              <w:rPr>
                <w:rFonts w:hint="eastAsia"/>
                <w:color w:val="000000" w:themeColor="text1"/>
                <w:sz w:val="24"/>
                <w:szCs w:val="24"/>
                <w:highlight w:val="none"/>
                <w:lang w:val="en-US" w:eastAsia="zh-CN"/>
                <w14:textFill>
                  <w14:solidFill>
                    <w14:schemeClr w14:val="tx1"/>
                  </w14:solidFill>
                </w14:textFill>
              </w:rPr>
              <w:t>1</w:t>
            </w:r>
            <w:r>
              <w:rPr>
                <w:rFonts w:hint="eastAsia"/>
                <w:color w:val="000000" w:themeColor="text1"/>
                <w:sz w:val="24"/>
                <w:szCs w:val="24"/>
                <w:highlight w:val="none"/>
                <w14:textFill>
                  <w14:solidFill>
                    <w14:schemeClr w14:val="tx1"/>
                  </w14:solidFill>
                </w14:textFill>
              </w:rPr>
              <w:t>座化粪池（容积</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14:textFill>
                  <w14:solidFill>
                    <w14:schemeClr w14:val="tx1"/>
                  </w14:solidFill>
                </w14:textFill>
              </w:rPr>
              <w:t>0m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处理管理人员及工人产生的生活污水</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化粪池的</w:t>
            </w:r>
            <w:r>
              <w:rPr>
                <w:rFonts w:hint="eastAsia"/>
                <w:color w:val="000000" w:themeColor="text1"/>
                <w:sz w:val="24"/>
                <w:szCs w:val="24"/>
                <w:highlight w:val="none"/>
                <w14:textFill>
                  <w14:solidFill>
                    <w14:schemeClr w14:val="tx1"/>
                  </w14:solidFill>
                </w14:textFill>
              </w:rPr>
              <w:t>容积能满足本项目生活污水的处理，处理可行。</w:t>
            </w:r>
            <w:r>
              <w:rPr>
                <w:rFonts w:hint="eastAsia"/>
                <w:color w:val="000000" w:themeColor="text1"/>
                <w:sz w:val="24"/>
                <w:szCs w:val="24"/>
                <w:highlight w:val="none"/>
                <w:lang w:eastAsia="zh-CN"/>
                <w14:textFill>
                  <w14:solidFill>
                    <w14:schemeClr w14:val="tx1"/>
                  </w14:solidFill>
                </w14:textFill>
              </w:rPr>
              <w:t>本项目</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经化粪池处理后进入宝梵污水处理厂。</w:t>
            </w:r>
          </w:p>
          <w:p w14:paraId="6032BB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蓬溪县宝梵镇污水处理厂位于蓬溪县宝梵镇鹤桥村</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社，总占地</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highlight w:val="none"/>
                <w14:textFill>
                  <w14:solidFill>
                    <w14:schemeClr w14:val="tx1"/>
                  </w14:solidFill>
                </w14:textFill>
              </w:rPr>
              <w:t>亩。铺设DN400-600污水管网7.8公里，处理规模为2000m</w:t>
            </w:r>
            <w:r>
              <w:rPr>
                <w:rFonts w:hint="default" w:ascii="Times New Roman" w:hAnsi="Times New Roman" w:eastAsia="宋体" w:cs="Times New Roman"/>
                <w:color w:val="000000" w:themeColor="text1"/>
                <w:sz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highlight w:val="none"/>
                <w14:textFill>
                  <w14:solidFill>
                    <w14:schemeClr w14:val="tx1"/>
                  </w14:solidFill>
                </w14:textFill>
              </w:rPr>
              <w:t>/d。蓬溪县宝梵镇污水处理厂采用较为先进的污水处理工艺，用于处理蓬溪县宝梵镇生活污水及少量工业区生产废水。废水进入蓬溪县宝梵镇污水处理厂处理达一级</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highlight w:val="none"/>
                <w14:textFill>
                  <w14:solidFill>
                    <w14:schemeClr w14:val="tx1"/>
                  </w14:solidFill>
                </w14:textFill>
              </w:rPr>
              <w:t>标后，最终排入小潼河。</w:t>
            </w:r>
          </w:p>
          <w:p w14:paraId="4AC7838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根据《蓬溪县火车站工业聚居区近期污水工程规划图》（见附图2.2），本项目所在区域属于污水处理纳管范围，</w:t>
            </w:r>
            <w:r>
              <w:rPr>
                <w:rFonts w:hint="default" w:ascii="Times New Roman" w:hAnsi="Times New Roman" w:eastAsia="宋体" w:cs="Times New Roman"/>
                <w:color w:val="000000" w:themeColor="text1"/>
                <w:sz w:val="24"/>
                <w:szCs w:val="24"/>
                <w:highlight w:val="none"/>
                <w14:textFill>
                  <w14:solidFill>
                    <w14:schemeClr w14:val="tx1"/>
                  </w14:solidFill>
                </w14:textFill>
              </w:rPr>
              <w:t>本项目外排</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w:t>
            </w:r>
            <w:r>
              <w:rPr>
                <w:rFonts w:hint="default" w:ascii="Times New Roman" w:hAnsi="Times New Roman" w:eastAsia="宋体" w:cs="Times New Roman"/>
                <w:color w:val="000000" w:themeColor="text1"/>
                <w:sz w:val="24"/>
                <w:szCs w:val="24"/>
                <w:highlight w:val="none"/>
                <w14:textFill>
                  <w14:solidFill>
                    <w14:schemeClr w14:val="tx1"/>
                  </w14:solidFill>
                </w14:textFill>
              </w:rPr>
              <w:t>总量为</w:t>
            </w:r>
            <w:r>
              <w:rPr>
                <w:rFonts w:hint="eastAsia" w:cs="Times New Roman"/>
                <w:color w:val="000000" w:themeColor="text1"/>
                <w:sz w:val="24"/>
                <w:szCs w:val="24"/>
                <w:highlight w:val="none"/>
                <w:lang w:val="en-US" w:eastAsia="zh-CN"/>
                <w14:textFill>
                  <w14:solidFill>
                    <w14:schemeClr w14:val="tx1"/>
                  </w14:solidFill>
                </w14:textFill>
              </w:rPr>
              <w:t>11</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.52</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/d，污水处理厂处理规模为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0.2</w:t>
            </w:r>
            <w:r>
              <w:rPr>
                <w:rFonts w:hint="default" w:ascii="Times New Roman" w:hAnsi="Times New Roman" w:eastAsia="宋体" w:cs="Times New Roman"/>
                <w:color w:val="000000" w:themeColor="text1"/>
                <w:sz w:val="24"/>
                <w:szCs w:val="24"/>
                <w:highlight w:val="none"/>
                <w14:textFill>
                  <w14:solidFill>
                    <w14:schemeClr w14:val="tx1"/>
                  </w14:solidFill>
                </w14:textFill>
              </w:rPr>
              <w:t>万m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/d，现宝梵污水处理厂已正式投入运行，</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蓬溪县宝梵</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w:t>
            </w:r>
            <w:r>
              <w:rPr>
                <w:rFonts w:hint="default" w:ascii="Times New Roman" w:hAnsi="Times New Roman" w:eastAsia="宋体" w:cs="Times New Roman"/>
                <w:color w:val="000000" w:themeColor="text1"/>
                <w:sz w:val="24"/>
                <w:szCs w:val="24"/>
                <w:highlight w:val="none"/>
                <w14:textFill>
                  <w14:solidFill>
                    <w14:schemeClr w14:val="tx1"/>
                  </w14:solidFill>
                </w14:textFill>
              </w:rPr>
              <w:t>污水处理厂未出现满负荷运行</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因此，本项目</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生活污水</w:t>
            </w:r>
            <w:r>
              <w:rPr>
                <w:rFonts w:hint="default" w:ascii="Times New Roman" w:hAnsi="Times New Roman" w:eastAsia="宋体" w:cs="Times New Roman"/>
                <w:color w:val="000000" w:themeColor="text1"/>
                <w:sz w:val="24"/>
                <w:szCs w:val="24"/>
                <w:highlight w:val="none"/>
                <w14:textFill>
                  <w14:solidFill>
                    <w14:schemeClr w14:val="tx1"/>
                  </w14:solidFill>
                </w14:textFill>
              </w:rPr>
              <w:t>进入宝梵污水处理厂处理是可行性的。</w:t>
            </w:r>
          </w:p>
          <w:p w14:paraId="0089B77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蓬溪县宝梵镇污水处理厂尾水排入小潼河，根据小潼河环境质量现状监测数据，各监测指标均能满足《地表水环境质量标准》(GB3838-2002)Ⅲ类水质标准要求。项目建成后，废水排放量为</w:t>
            </w:r>
            <w:r>
              <w:rPr>
                <w:rFonts w:hint="eastAsia"/>
                <w:color w:val="000000" w:themeColor="text1"/>
                <w:sz w:val="24"/>
                <w:szCs w:val="24"/>
                <w:highlight w:val="none"/>
                <w:lang w:val="en-US" w:eastAsia="zh-CN"/>
                <w14:textFill>
                  <w14:solidFill>
                    <w14:schemeClr w14:val="tx1"/>
                  </w14:solidFill>
                </w14:textFill>
              </w:rPr>
              <w:t>11.52</w:t>
            </w:r>
            <w:r>
              <w:rPr>
                <w:rFonts w:hint="eastAsia"/>
                <w:color w:val="000000" w:themeColor="text1"/>
                <w:sz w:val="24"/>
                <w:szCs w:val="24"/>
                <w:highlight w:val="none"/>
                <w14:textFill>
                  <w14:solidFill>
                    <w14:schemeClr w14:val="tx1"/>
                  </w14:solidFill>
                </w14:textFill>
              </w:rPr>
              <w:t>m³/d，仅为污水处理厂设计处理规模的0.</w:t>
            </w:r>
            <w:r>
              <w:rPr>
                <w:rFonts w:hint="eastAsia"/>
                <w:color w:val="000000" w:themeColor="text1"/>
                <w:sz w:val="24"/>
                <w:szCs w:val="24"/>
                <w:highlight w:val="none"/>
                <w:lang w:val="en-US" w:eastAsia="zh-CN"/>
                <w14:textFill>
                  <w14:solidFill>
                    <w14:schemeClr w14:val="tx1"/>
                  </w14:solidFill>
                </w14:textFill>
              </w:rPr>
              <w:t>576</w:t>
            </w:r>
            <w:r>
              <w:rPr>
                <w:rFonts w:hint="eastAsia"/>
                <w:color w:val="000000" w:themeColor="text1"/>
                <w:sz w:val="24"/>
                <w:szCs w:val="24"/>
                <w:highlight w:val="none"/>
                <w14:textFill>
                  <w14:solidFill>
                    <w14:schemeClr w14:val="tx1"/>
                  </w14:solidFill>
                </w14:textFill>
              </w:rPr>
              <w:t>%，经污水处理厂处理后，其尾水排放浓度达到《城镇污水处理厂污染物排放标准》（GB18918-2002）一级</w:t>
            </w:r>
            <w:r>
              <w:rPr>
                <w:rFonts w:hint="eastAsia"/>
                <w:color w:val="000000" w:themeColor="text1"/>
                <w:sz w:val="24"/>
                <w:szCs w:val="24"/>
                <w:highlight w:val="none"/>
                <w:lang w:val="en-US" w:eastAsia="zh-CN"/>
                <w14:textFill>
                  <w14:solidFill>
                    <w14:schemeClr w14:val="tx1"/>
                  </w14:solidFill>
                </w14:textFill>
              </w:rPr>
              <w:t>A</w:t>
            </w:r>
            <w:r>
              <w:rPr>
                <w:rFonts w:hint="eastAsia"/>
                <w:color w:val="000000" w:themeColor="text1"/>
                <w:sz w:val="24"/>
                <w:szCs w:val="24"/>
                <w:highlight w:val="none"/>
                <w14:textFill>
                  <w14:solidFill>
                    <w14:schemeClr w14:val="tx1"/>
                  </w14:solidFill>
                </w14:textFill>
              </w:rPr>
              <w:t>标准后排入小潼河。由此可见，本项目建成后，废水排放不会改变最终受纳水体水质。因此本项目生活废水依托可行。</w:t>
            </w:r>
          </w:p>
          <w:p w14:paraId="4F72864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生产废水处理措施可行性分析</w:t>
            </w:r>
          </w:p>
          <w:p w14:paraId="5A44FB9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搅拌机冲洗、地坪冲洗废水等经收集后进入砂石分离器，污水收集池，进入五级沉淀池，同时添加絮凝沉淀剂（PAM、PAC），沉淀池底泥定期清掏，进入压滤机进行进一步固液分离，上清液回用，压滤泥饼收集后定期外运至G42线南充至成都段高速公路扩容工程弃渣场（经纬度：105.5903，30.6304）。</w:t>
            </w:r>
          </w:p>
          <w:p w14:paraId="36EE2DA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絮凝沉淀作用：废水经絮凝剂使水中悬浮颗粒发生絮凝沉降，本项目使用的絮凝剂主要成分为聚合氯化铝絮凝剂。生产废水投加絮凝剂后，形成矾花，絮体互相碰撞凝聚，颗粒尺寸变大，沉速随深度而增加。絮凝过程为生产废水中细小胶体与分散颗粒由于分子吸引力的作用互相粘结凝聚的过程，生成的矾花在沉淀、过滤处理过程中起着强化和提高处理效率的作用。</w:t>
            </w:r>
          </w:p>
          <w:p w14:paraId="517A5B2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0" w:firstLineChars="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object>
                <v:shape id="_x0000_i1033" o:spt="75" type="#_x0000_t75" style="height:131.85pt;width:396.85pt;" o:ole="t" filled="f" o:preferrelative="t" stroked="f" coordsize="21600,21600">
                  <v:path/>
                  <v:fill on="f" focussize="0,0"/>
                  <v:stroke on="f"/>
                  <v:imagedata r:id="rId35" o:title=""/>
                  <o:lock v:ext="edit" aspectratio="f"/>
                  <w10:wrap type="none"/>
                  <w10:anchorlock/>
                </v:shape>
                <o:OLEObject Type="Embed" ProgID="Visio.Drawing.15" ShapeID="_x0000_i1033" DrawAspect="Content" ObjectID="_1468075733" r:id="rId34">
                  <o:LockedField>false</o:LockedField>
                </o:OLEObject>
              </w:object>
            </w:r>
          </w:p>
          <w:p w14:paraId="238DF60F">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eastAsia="宋体"/>
                <w:b/>
                <w:bCs/>
                <w:color w:val="000000" w:themeColor="text1"/>
                <w:sz w:val="21"/>
                <w:szCs w:val="21"/>
                <w:highlight w:val="none"/>
                <w:lang w:val="en-US" w:eastAsia="zh-CN"/>
                <w14:textFill>
                  <w14:solidFill>
                    <w14:schemeClr w14:val="tx1"/>
                  </w14:solidFill>
                </w14:textFill>
              </w:rPr>
            </w:pPr>
            <w:r>
              <w:rPr>
                <w:rFonts w:hint="eastAsia"/>
                <w:b/>
                <w:bCs/>
                <w:color w:val="000000" w:themeColor="text1"/>
                <w:sz w:val="21"/>
                <w:szCs w:val="21"/>
                <w:highlight w:val="none"/>
                <w:lang w:eastAsia="zh-CN"/>
                <w14:textFill>
                  <w14:solidFill>
                    <w14:schemeClr w14:val="tx1"/>
                  </w14:solidFill>
                </w14:textFill>
              </w:rPr>
              <w:t>图</w:t>
            </w:r>
            <w:r>
              <w:rPr>
                <w:rFonts w:hint="eastAsia"/>
                <w:b/>
                <w:bCs/>
                <w:color w:val="000000" w:themeColor="text1"/>
                <w:sz w:val="21"/>
                <w:szCs w:val="21"/>
                <w:highlight w:val="none"/>
                <w:lang w:val="en-US" w:eastAsia="zh-CN"/>
                <w14:textFill>
                  <w14:solidFill>
                    <w14:schemeClr w14:val="tx1"/>
                  </w14:solidFill>
                </w14:textFill>
              </w:rPr>
              <w:t>4-1     生产废水处理工艺流程</w:t>
            </w:r>
          </w:p>
          <w:p w14:paraId="570DE95B">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本项目搅拌机冲洗、地坪冲洗废水等生产废水量为</w:t>
            </w:r>
            <w:r>
              <w:rPr>
                <w:rFonts w:hint="eastAsia"/>
                <w:color w:val="000000" w:themeColor="text1"/>
                <w:sz w:val="24"/>
                <w:szCs w:val="24"/>
                <w:highlight w:val="none"/>
                <w:lang w:val="en-US" w:eastAsia="zh-CN"/>
                <w14:textFill>
                  <w14:solidFill>
                    <w14:schemeClr w14:val="tx1"/>
                  </w14:solidFill>
                </w14:textFill>
              </w:rPr>
              <w:t>73.65m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/d，</w:t>
            </w:r>
            <w:r>
              <w:rPr>
                <w:rFonts w:hint="eastAsia" w:ascii="宋体" w:hAnsi="宋体"/>
                <w:color w:val="000000" w:themeColor="text1"/>
                <w:sz w:val="24"/>
                <w:highlight w:val="none"/>
                <w:lang w:eastAsia="zh-CN"/>
                <w14:textFill>
                  <w14:solidFill>
                    <w14:schemeClr w14:val="tx1"/>
                  </w14:solidFill>
                </w14:textFill>
              </w:rPr>
              <w:t>废水处理系统总容积</w:t>
            </w:r>
            <w:r>
              <w:rPr>
                <w:rFonts w:hint="default" w:ascii="Times New Roman" w:hAnsi="Times New Roman" w:cs="Times New Roman"/>
                <w:color w:val="000000" w:themeColor="text1"/>
                <w:sz w:val="24"/>
                <w:highlight w:val="none"/>
                <w:lang w:eastAsia="zh-CN"/>
                <w14:textFill>
                  <w14:solidFill>
                    <w14:schemeClr w14:val="tx1"/>
                  </w14:solidFill>
                </w14:textFill>
              </w:rPr>
              <w:t>为</w:t>
            </w:r>
            <w:r>
              <w:rPr>
                <w:rFonts w:hint="eastAsia" w:cs="Times New Roman"/>
                <w:color w:val="000000" w:themeColor="text1"/>
                <w:sz w:val="24"/>
                <w:highlight w:val="none"/>
                <w:lang w:val="en-US" w:eastAsia="zh-CN"/>
                <w14:textFill>
                  <w14:solidFill>
                    <w14:schemeClr w14:val="tx1"/>
                  </w14:solidFill>
                </w14:textFill>
              </w:rPr>
              <w:t>200</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m</w:t>
            </w:r>
            <w:r>
              <w:rPr>
                <w:rFonts w:hint="default" w:ascii="Times New Roman" w:hAnsi="Times New Roman"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项目废水停留时间能够满足1h的沉淀要求，处理措施可行。</w:t>
            </w:r>
          </w:p>
          <w:p w14:paraId="7BE0A0A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蒸养废水</w:t>
            </w:r>
            <w:r>
              <w:rPr>
                <w:rFonts w:hint="eastAsia"/>
                <w:color w:val="000000" w:themeColor="text1"/>
                <w:sz w:val="24"/>
                <w:szCs w:val="24"/>
                <w:highlight w:val="none"/>
                <w:lang w:eastAsia="zh-CN"/>
                <w14:textFill>
                  <w14:solidFill>
                    <w14:schemeClr w14:val="tx1"/>
                  </w14:solidFill>
                </w14:textFill>
              </w:rPr>
              <w:t>量为</w:t>
            </w:r>
            <w:r>
              <w:rPr>
                <w:rFonts w:hint="eastAsia"/>
                <w:color w:val="000000" w:themeColor="text1"/>
                <w:sz w:val="24"/>
                <w:szCs w:val="24"/>
                <w:highlight w:val="none"/>
                <w:lang w:val="en-US" w:eastAsia="zh-CN"/>
                <w14:textFill>
                  <w14:solidFill>
                    <w14:schemeClr w14:val="tx1"/>
                  </w14:solidFill>
                </w14:textFill>
              </w:rPr>
              <w:t>1.5m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/d，</w:t>
            </w:r>
            <w:r>
              <w:rPr>
                <w:rFonts w:hint="eastAsia"/>
                <w:color w:val="000000" w:themeColor="text1"/>
                <w:sz w:val="24"/>
                <w:szCs w:val="21"/>
                <w:highlight w:val="none"/>
                <w:lang w:eastAsia="zh-CN"/>
                <w14:textFill>
                  <w14:solidFill>
                    <w14:schemeClr w14:val="tx1"/>
                  </w14:solidFill>
                </w14:textFill>
              </w:rPr>
              <w:t>经沉淀池（</w:t>
            </w:r>
            <w:r>
              <w:rPr>
                <w:rFonts w:hint="eastAsia"/>
                <w:color w:val="000000" w:themeColor="text1"/>
                <w:sz w:val="24"/>
                <w:szCs w:val="24"/>
                <w:highlight w:val="none"/>
                <w:lang w:val="en-US" w:eastAsia="zh-CN"/>
                <w14:textFill>
                  <w14:solidFill>
                    <w14:schemeClr w14:val="tx1"/>
                  </w14:solidFill>
                </w14:textFill>
              </w:rPr>
              <w:t>10m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1"/>
                <w:highlight w:val="none"/>
                <w:lang w:eastAsia="zh-CN"/>
                <w14:textFill>
                  <w14:solidFill>
                    <w14:schemeClr w14:val="tx1"/>
                  </w14:solidFill>
                </w14:textFill>
              </w:rPr>
              <w:t>）沉淀后回用于抑尘、清洗用水等，沉淀池容积满足废水容量需求，措施可行。</w:t>
            </w:r>
          </w:p>
          <w:p w14:paraId="3BB266A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运输车辆冲洗废水量为23.4</w:t>
            </w:r>
            <w:r>
              <w:rPr>
                <w:rFonts w:hint="eastAsia"/>
                <w:color w:val="000000" w:themeColor="text1"/>
                <w:sz w:val="24"/>
                <w:szCs w:val="24"/>
                <w:highlight w:val="none"/>
                <w:lang w:val="en-US" w:eastAsia="zh-CN"/>
                <w14:textFill>
                  <w14:solidFill>
                    <w14:schemeClr w14:val="tx1"/>
                  </w14:solidFill>
                </w14:textFill>
              </w:rPr>
              <w:t>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/d，经隔油沉淀池（25m</w:t>
            </w:r>
            <w:r>
              <w:rPr>
                <w:rFonts w:hint="eastAsia"/>
                <w:color w:val="000000" w:themeColor="text1"/>
                <w:sz w:val="24"/>
                <w:szCs w:val="24"/>
                <w:highlight w:val="none"/>
                <w:vertAlign w:val="superscript"/>
                <w:lang w:val="en-US" w:eastAsia="zh-CN"/>
                <w14:textFill>
                  <w14:solidFill>
                    <w14:schemeClr w14:val="tx1"/>
                  </w14:solidFill>
                </w14:textFill>
              </w:rPr>
              <w:t>3</w:t>
            </w:r>
            <w:r>
              <w:rPr>
                <w:rFonts w:hint="eastAsia"/>
                <w:color w:val="000000" w:themeColor="text1"/>
                <w:sz w:val="24"/>
                <w:szCs w:val="24"/>
                <w:highlight w:val="none"/>
                <w:lang w:val="en-US" w:eastAsia="zh-CN"/>
                <w14:textFill>
                  <w14:solidFill>
                    <w14:schemeClr w14:val="tx1"/>
                  </w14:solidFill>
                </w14:textFill>
              </w:rPr>
              <w:t>）处理后回用于车辆冲洗，</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项目废水停留时间能够满足1h的沉淀要求，</w:t>
            </w:r>
            <w:r>
              <w:rPr>
                <w:rFonts w:hint="eastAsia"/>
                <w:color w:val="000000" w:themeColor="text1"/>
                <w:sz w:val="24"/>
                <w:szCs w:val="24"/>
                <w:highlight w:val="none"/>
                <w:lang w:val="en-US" w:eastAsia="zh-CN"/>
                <w14:textFill>
                  <w14:solidFill>
                    <w14:schemeClr w14:val="tx1"/>
                  </w14:solidFill>
                </w14:textFill>
              </w:rPr>
              <w:t>隔油</w:t>
            </w:r>
            <w:r>
              <w:rPr>
                <w:rFonts w:hint="eastAsia"/>
                <w:color w:val="000000" w:themeColor="text1"/>
                <w:sz w:val="24"/>
                <w:szCs w:val="21"/>
                <w:highlight w:val="none"/>
                <w:lang w:eastAsia="zh-CN"/>
                <w14:textFill>
                  <w14:solidFill>
                    <w14:schemeClr w14:val="tx1"/>
                  </w14:solidFill>
                </w14:textFill>
              </w:rPr>
              <w:t>沉淀池容积满足废水容量需求，措施可行。</w:t>
            </w:r>
          </w:p>
          <w:p w14:paraId="5C47436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生产废水经处理后，回用于</w:t>
            </w:r>
            <w:r>
              <w:rPr>
                <w:rFonts w:hint="eastAsia"/>
                <w:color w:val="000000" w:themeColor="text1"/>
                <w:sz w:val="24"/>
                <w:szCs w:val="24"/>
                <w:highlight w:val="none"/>
                <w:lang w:eastAsia="zh-CN"/>
                <w14:textFill>
                  <w14:solidFill>
                    <w14:schemeClr w14:val="tx1"/>
                  </w14:solidFill>
                </w14:textFill>
              </w:rPr>
              <w:t>清洗</w:t>
            </w:r>
            <w:r>
              <w:rPr>
                <w:rFonts w:hint="eastAsia"/>
                <w:color w:val="000000" w:themeColor="text1"/>
                <w:sz w:val="24"/>
                <w:szCs w:val="24"/>
                <w:highlight w:val="none"/>
                <w14:textFill>
                  <w14:solidFill>
                    <w14:schemeClr w14:val="tx1"/>
                  </w14:solidFill>
                </w14:textFill>
              </w:rPr>
              <w:t>及厂区洒水降尘；</w:t>
            </w:r>
            <w:r>
              <w:rPr>
                <w:rFonts w:hint="eastAsia"/>
                <w:color w:val="000000" w:themeColor="text1"/>
                <w:sz w:val="24"/>
                <w:szCs w:val="24"/>
                <w:highlight w:val="none"/>
                <w:lang w:eastAsia="zh-CN"/>
                <w14:textFill>
                  <w14:solidFill>
                    <w14:schemeClr w14:val="tx1"/>
                  </w14:solidFill>
                </w14:textFill>
              </w:rPr>
              <w:t>清洗机抑尘</w:t>
            </w:r>
            <w:r>
              <w:rPr>
                <w:rFonts w:hint="eastAsia"/>
                <w:color w:val="000000" w:themeColor="text1"/>
                <w:sz w:val="24"/>
                <w:szCs w:val="24"/>
                <w:highlight w:val="none"/>
                <w14:textFill>
                  <w14:solidFill>
                    <w14:schemeClr w14:val="tx1"/>
                  </w14:solidFill>
                </w14:textFill>
              </w:rPr>
              <w:t>用水对水质无过大要求，</w:t>
            </w:r>
            <w:r>
              <w:rPr>
                <w:rFonts w:hint="eastAsia"/>
                <w:color w:val="000000" w:themeColor="text1"/>
                <w:sz w:val="24"/>
                <w:highlight w:val="none"/>
                <w14:textFill>
                  <w14:solidFill>
                    <w14:schemeClr w14:val="tx1"/>
                  </w14:solidFill>
                </w14:textFill>
              </w:rPr>
              <w:t>生产废水可全部回用，既避免了废水的排放，又节约了水资源，增大了资源利用率，提高了清洁生产水平，产生了经济效益。建设单位拟定期对生产废水处理回用系统进行清理及检修，防止生产废水无法循环使用，保证废水处理池均正常运作。</w:t>
            </w:r>
            <w:r>
              <w:rPr>
                <w:rFonts w:hint="eastAsia"/>
                <w:color w:val="000000" w:themeColor="text1"/>
                <w:sz w:val="24"/>
                <w:szCs w:val="24"/>
                <w:highlight w:val="none"/>
                <w14:textFill>
                  <w14:solidFill>
                    <w14:schemeClr w14:val="tx1"/>
                  </w14:solidFill>
                </w14:textFill>
              </w:rPr>
              <w:t>项目</w:t>
            </w:r>
            <w:r>
              <w:rPr>
                <w:rFonts w:hint="eastAsia" w:ascii="宋体" w:hAnsi="宋体"/>
                <w:color w:val="000000" w:themeColor="text1"/>
                <w:sz w:val="24"/>
                <w:highlight w:val="none"/>
                <w14:textFill>
                  <w14:solidFill>
                    <w14:schemeClr w14:val="tx1"/>
                  </w14:solidFill>
                </w14:textFill>
              </w:rPr>
              <w:t>生产废水</w:t>
            </w:r>
            <w:r>
              <w:rPr>
                <w:rFonts w:hint="eastAsia"/>
                <w:color w:val="000000" w:themeColor="text1"/>
                <w:sz w:val="24"/>
                <w:szCs w:val="24"/>
                <w:highlight w:val="none"/>
                <w14:textFill>
                  <w14:solidFill>
                    <w14:schemeClr w14:val="tx1"/>
                  </w14:solidFill>
                </w14:textFill>
              </w:rPr>
              <w:t>回用可行。</w:t>
            </w:r>
          </w:p>
          <w:p w14:paraId="4EC4D60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ascii="Times New Roman" w:hAnsi="Times New Roman" w:cs="Times New Roman"/>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（3）雨水处理措施可行性分析</w:t>
            </w:r>
          </w:p>
          <w:p w14:paraId="7AE9882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color w:val="000000" w:themeColor="text1"/>
                <w:sz w:val="24"/>
                <w:highlight w:val="none"/>
                <w:lang w:eastAsia="zh-CN"/>
                <w14:textFill>
                  <w14:solidFill>
                    <w14:schemeClr w14:val="tx1"/>
                  </w14:solidFill>
                </w14:textFill>
              </w:rPr>
              <w:t>本项目采取雨污分流制，初期雨水经进入雨水收集池处理，经沉淀处理后的废水回用于生产。在项目雨水排口前设切换井，雨水排口切换井设两个出口，一个出口与雨水收集池相连，一个出口与厂区外雨水沟相通。当降雨时，关闭阀门，初期雨水经雨水沟收集，进入项目雨水收集池。一段时间（一般</w:t>
            </w:r>
            <w:r>
              <w:rPr>
                <w:rFonts w:hint="eastAsia"/>
                <w:color w:val="000000" w:themeColor="text1"/>
                <w:sz w:val="24"/>
                <w:highlight w:val="none"/>
                <w:lang w:val="en-US" w:eastAsia="zh-CN"/>
                <w14:textFill>
                  <w14:solidFill>
                    <w14:schemeClr w14:val="tx1"/>
                  </w14:solidFill>
                </w14:textFill>
              </w:rPr>
              <w:t>15</w:t>
            </w:r>
            <w:r>
              <w:rPr>
                <w:rFonts w:hint="eastAsia"/>
                <w:color w:val="000000" w:themeColor="text1"/>
                <w:sz w:val="24"/>
                <w:highlight w:val="none"/>
                <w:lang w:eastAsia="zh-CN"/>
                <w14:textFill>
                  <w14:solidFill>
                    <w14:schemeClr w14:val="tx1"/>
                  </w14:solidFill>
                </w14:textFill>
              </w:rPr>
              <w:t>min）后手动切换阀门，后期雨水由雨水沟排出项目厂外。</w:t>
            </w:r>
          </w:p>
          <w:p w14:paraId="1A0C88B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ascii="Times New Roman" w:hAnsi="Times New Roman" w:cs="Times New Roman"/>
                <w:color w:val="000000" w:themeColor="text1"/>
                <w:sz w:val="24"/>
                <w:highlight w:val="none"/>
                <w:lang w:eastAsia="zh-CN"/>
                <w14:textFill>
                  <w14:solidFill>
                    <w14:schemeClr w14:val="tx1"/>
                  </w14:solidFill>
                </w14:textFill>
              </w:rPr>
            </w:pPr>
            <w:r>
              <w:rPr>
                <w:rFonts w:hint="default" w:ascii="Times New Roman" w:hAnsi="Times New Roman" w:cs="Times New Roman"/>
                <w:color w:val="000000" w:themeColor="text1"/>
                <w:sz w:val="24"/>
                <w:highlight w:val="none"/>
                <w:lang w:eastAsia="zh-CN"/>
                <w14:textFill>
                  <w14:solidFill>
                    <w14:schemeClr w14:val="tx1"/>
                  </w14:solidFill>
                </w14:textFill>
              </w:rPr>
              <w:t>雨水收集池有效容积应满足水力停留时间不低于</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highlight w:val="none"/>
                <w:lang w:eastAsia="zh-CN"/>
                <w14:textFill>
                  <w14:solidFill>
                    <w14:schemeClr w14:val="tx1"/>
                  </w14:solidFill>
                </w14:textFill>
              </w:rPr>
              <w:t>min要求，初期雨水量按满足最大暴雨量气候条件下计算，暴雨期</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highlight w:val="none"/>
                <w:lang w:eastAsia="zh-CN"/>
                <w14:textFill>
                  <w14:solidFill>
                    <w14:schemeClr w14:val="tx1"/>
                  </w14:solidFill>
                </w14:textFill>
              </w:rPr>
              <w:t>min小时初期雨水量为</w:t>
            </w:r>
            <w:r>
              <w:rPr>
                <w:rFonts w:hint="eastAsia" w:cs="Times New Roman"/>
                <w:color w:val="000000" w:themeColor="text1"/>
                <w:sz w:val="24"/>
                <w:highlight w:val="none"/>
                <w:lang w:val="en-US" w:eastAsia="zh-CN"/>
                <w14:textFill>
                  <w14:solidFill>
                    <w14:schemeClr w14:val="tx1"/>
                  </w14:solidFill>
                </w14:textFill>
              </w:rPr>
              <w:t>256.7</w:t>
            </w:r>
            <w:r>
              <w:rPr>
                <w:rFonts w:hint="default" w:ascii="Times New Roman" w:hAnsi="Times New Roman" w:cs="Times New Roman"/>
                <w:color w:val="000000" w:themeColor="text1"/>
                <w:sz w:val="24"/>
                <w:highlight w:val="none"/>
                <w:lang w:eastAsia="zh-CN"/>
                <w14:textFill>
                  <w14:solidFill>
                    <w14:schemeClr w14:val="tx1"/>
                  </w14:solidFill>
                </w14:textFill>
              </w:rPr>
              <w:t>m</w:t>
            </w:r>
            <w:r>
              <w:rPr>
                <w:rFonts w:hint="default" w:ascii="Times New Roman" w:hAnsi="Times New Roman" w:cs="Times New Roman"/>
                <w:color w:val="000000" w:themeColor="text1"/>
                <w:sz w:val="24"/>
                <w:highlight w:val="none"/>
                <w:vertAlign w:val="superscript"/>
                <w:lang w:eastAsia="zh-CN"/>
                <w14:textFill>
                  <w14:solidFill>
                    <w14:schemeClr w14:val="tx1"/>
                  </w14:solidFill>
                </w14:textFill>
              </w:rPr>
              <w:t>3</w:t>
            </w:r>
            <w:r>
              <w:rPr>
                <w:rFonts w:hint="default" w:ascii="Times New Roman" w:hAnsi="Times New Roman" w:cs="Times New Roman"/>
                <w:color w:val="000000" w:themeColor="text1"/>
                <w:sz w:val="24"/>
                <w:highlight w:val="none"/>
                <w:lang w:eastAsia="zh-CN"/>
                <w14:textFill>
                  <w14:solidFill>
                    <w14:schemeClr w14:val="tx1"/>
                  </w14:solidFill>
                </w14:textFill>
              </w:rPr>
              <w:t>。项目雨水收集容积应不低于</w:t>
            </w:r>
            <w:r>
              <w:rPr>
                <w:rFonts w:hint="eastAsia" w:cs="Times New Roman"/>
                <w:color w:val="000000" w:themeColor="text1"/>
                <w:sz w:val="24"/>
                <w:highlight w:val="none"/>
                <w:lang w:val="en-US" w:eastAsia="zh-CN"/>
                <w14:textFill>
                  <w14:solidFill>
                    <w14:schemeClr w14:val="tx1"/>
                  </w14:solidFill>
                </w14:textFill>
              </w:rPr>
              <w:t>256.7</w:t>
            </w:r>
            <w:r>
              <w:rPr>
                <w:rFonts w:hint="default" w:ascii="Times New Roman" w:hAnsi="Times New Roman" w:cs="Times New Roman"/>
                <w:color w:val="000000" w:themeColor="text1"/>
                <w:sz w:val="24"/>
                <w:highlight w:val="none"/>
                <w:lang w:eastAsia="zh-CN"/>
                <w14:textFill>
                  <w14:solidFill>
                    <w14:schemeClr w14:val="tx1"/>
                  </w14:solidFill>
                </w14:textFill>
              </w:rPr>
              <w:t>m</w:t>
            </w:r>
            <w:r>
              <w:rPr>
                <w:rFonts w:hint="default" w:ascii="Times New Roman" w:hAnsi="Times New Roman" w:cs="Times New Roman"/>
                <w:color w:val="000000" w:themeColor="text1"/>
                <w:sz w:val="24"/>
                <w:highlight w:val="none"/>
                <w:vertAlign w:val="superscript"/>
                <w:lang w:eastAsia="zh-CN"/>
                <w14:textFill>
                  <w14:solidFill>
                    <w14:schemeClr w14:val="tx1"/>
                  </w14:solidFill>
                </w14:textFill>
              </w:rPr>
              <w:t>3</w:t>
            </w:r>
            <w:r>
              <w:rPr>
                <w:rFonts w:hint="eastAsia" w:cs="Times New Roman"/>
                <w:color w:val="000000" w:themeColor="text1"/>
                <w:sz w:val="24"/>
                <w:highlight w:val="none"/>
                <w:lang w:eastAsia="zh-CN"/>
                <w14:textFill>
                  <w14:solidFill>
                    <w14:schemeClr w14:val="tx1"/>
                  </w14:solidFill>
                </w14:textFill>
              </w:rPr>
              <w:t>，容量满足需求</w:t>
            </w:r>
            <w:r>
              <w:rPr>
                <w:rFonts w:hint="default" w:ascii="Times New Roman" w:hAnsi="Times New Roman"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eastAsia="zh-CN"/>
                <w14:textFill>
                  <w14:solidFill>
                    <w14:schemeClr w14:val="tx1"/>
                  </w14:solidFill>
                </w14:textFill>
              </w:rPr>
              <w:t>处理措施可行。</w:t>
            </w:r>
          </w:p>
          <w:p w14:paraId="0232DAC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）对小潼河地表水环境的保护措施</w:t>
            </w:r>
          </w:p>
          <w:p w14:paraId="2D0E95E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小潼河位于本项目西南侧约</w:t>
            </w:r>
            <w:r>
              <w:rPr>
                <w:rFonts w:hint="eastAsia"/>
                <w:color w:val="000000" w:themeColor="text1"/>
                <w:sz w:val="24"/>
                <w:szCs w:val="24"/>
                <w:highlight w:val="none"/>
                <w:lang w:val="en-US" w:eastAsia="zh-CN"/>
                <w14:textFill>
                  <w14:solidFill>
                    <w14:schemeClr w14:val="tx1"/>
                  </w14:solidFill>
                </w14:textFill>
              </w:rPr>
              <w:t>250m处，</w:t>
            </w:r>
            <w:r>
              <w:rPr>
                <w:rFonts w:hint="eastAsia"/>
                <w:color w:val="000000" w:themeColor="text1"/>
                <w:sz w:val="24"/>
                <w:szCs w:val="24"/>
                <w:highlight w:val="none"/>
                <w:lang w:eastAsia="zh-CN"/>
                <w14:textFill>
                  <w14:solidFill>
                    <w14:schemeClr w14:val="tx1"/>
                  </w14:solidFill>
                </w14:textFill>
              </w:rPr>
              <w:t>本项目生产废水经处理后回用于生产，不外排；初期雨水经收集处理后回用于生产，不外排；生活污水</w:t>
            </w:r>
            <w:r>
              <w:rPr>
                <w:rFonts w:hint="default" w:ascii="Times New Roman" w:hAnsi="Times New Roman" w:eastAsia="宋体" w:cs="Times New Roman"/>
                <w:color w:val="000000" w:themeColor="text1"/>
                <w:sz w:val="24"/>
                <w:szCs w:val="24"/>
                <w:highlight w:val="none"/>
                <w14:textFill>
                  <w14:solidFill>
                    <w14:schemeClr w14:val="tx1"/>
                  </w14:solidFill>
                </w14:textFill>
              </w:rPr>
              <w:t>经化粪池处理后进入宝梵污水处理厂。</w:t>
            </w:r>
            <w:r>
              <w:rPr>
                <w:rFonts w:hint="eastAsia"/>
                <w:color w:val="000000" w:themeColor="text1"/>
                <w:sz w:val="24"/>
                <w:szCs w:val="24"/>
                <w:highlight w:val="none"/>
                <w:lang w:eastAsia="zh-CN"/>
                <w14:textFill>
                  <w14:solidFill>
                    <w14:schemeClr w14:val="tx1"/>
                  </w14:solidFill>
                </w14:textFill>
              </w:rPr>
              <w:t>本项目无废水直排，同时加强对厂区污水处理设施的维护和管理，本项目对小潼河地表水环境影响较小。</w:t>
            </w:r>
          </w:p>
          <w:p w14:paraId="10C20AC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eastAsia="宋体"/>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b/>
                <w:color w:val="000000" w:themeColor="text1"/>
                <w:sz w:val="24"/>
                <w:highlight w:val="none"/>
                <w14:textFill>
                  <w14:solidFill>
                    <w14:schemeClr w14:val="tx1"/>
                  </w14:solidFill>
                </w14:textFill>
              </w:rPr>
              <w:t>产</w:t>
            </w:r>
            <w:r>
              <w:rPr>
                <w:rFonts w:hint="default" w:ascii="Times New Roman" w:hAnsi="Times New Roman" w:cs="Times New Roman"/>
                <w:b/>
                <w:color w:val="000000" w:themeColor="text1"/>
                <w:spacing w:val="-10"/>
                <w:sz w:val="24"/>
                <w:highlight w:val="none"/>
                <w14:textFill>
                  <w14:solidFill>
                    <w14:schemeClr w14:val="tx1"/>
                  </w14:solidFill>
                </w14:textFill>
              </w:rPr>
              <w:t>污环节、污染物种类、排放形式、污染治理设施汇总</w:t>
            </w:r>
          </w:p>
          <w:p w14:paraId="236B710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ascii="Times New Roman" w:hAnsi="Times New Roman" w:eastAsia="宋体"/>
                <w:b/>
                <w:bCs/>
                <w:color w:val="000000" w:themeColor="text1"/>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据以上分析，本项目废水产生及排放情况如下表。</w:t>
            </w:r>
          </w:p>
          <w:p w14:paraId="16B877C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表4-</w:t>
            </w:r>
            <w:r>
              <w:rPr>
                <w:rFonts w:hint="eastAsia" w:ascii="Times New Roman" w:hAnsi="Times New Roman" w:eastAsia="宋体"/>
                <w:b/>
                <w:bCs/>
                <w:color w:val="000000" w:themeColor="text1"/>
                <w:highlight w:val="none"/>
                <w:lang w:val="en-US" w:eastAsia="zh-CN"/>
                <w14:textFill>
                  <w14:solidFill>
                    <w14:schemeClr w14:val="tx1"/>
                  </w14:solidFill>
                </w14:textFill>
              </w:rPr>
              <w:t>9</w:t>
            </w:r>
            <w:r>
              <w:rPr>
                <w:rFonts w:ascii="Times New Roman" w:hAnsi="Times New Roman" w:eastAsia="宋体"/>
                <w:b/>
                <w:bCs/>
                <w:color w:val="000000" w:themeColor="text1"/>
                <w:highlight w:val="none"/>
                <w14:textFill>
                  <w14:solidFill>
                    <w14:schemeClr w14:val="tx1"/>
                  </w14:solidFill>
                </w14:textFill>
              </w:rPr>
              <w:t xml:space="preserve">     废水产生及治理措施</w:t>
            </w:r>
          </w:p>
          <w:tbl>
            <w:tblPr>
              <w:tblStyle w:val="20"/>
              <w:tblW w:w="7996"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68"/>
              <w:gridCol w:w="1076"/>
              <w:gridCol w:w="781"/>
              <w:gridCol w:w="1534"/>
              <w:gridCol w:w="772"/>
              <w:gridCol w:w="1762"/>
              <w:gridCol w:w="663"/>
              <w:gridCol w:w="740"/>
            </w:tblGrid>
            <w:tr w14:paraId="34B47E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restart"/>
                  <w:tcBorders>
                    <w:tl2br w:val="nil"/>
                    <w:tr2bl w:val="nil"/>
                  </w:tcBorders>
                  <w:vAlign w:val="center"/>
                </w:tcPr>
                <w:p w14:paraId="1205BA4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产排污环节</w:t>
                  </w:r>
                </w:p>
              </w:tc>
              <w:tc>
                <w:tcPr>
                  <w:tcW w:w="672" w:type="pct"/>
                  <w:vMerge w:val="restart"/>
                  <w:tcBorders>
                    <w:tl2br w:val="nil"/>
                    <w:tr2bl w:val="nil"/>
                  </w:tcBorders>
                  <w:vAlign w:val="center"/>
                </w:tcPr>
                <w:p w14:paraId="443A5E9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类别</w:t>
                  </w:r>
                </w:p>
              </w:tc>
              <w:tc>
                <w:tcPr>
                  <w:tcW w:w="488" w:type="pct"/>
                  <w:vMerge w:val="restart"/>
                  <w:tcBorders>
                    <w:tl2br w:val="nil"/>
                    <w:tr2bl w:val="nil"/>
                  </w:tcBorders>
                  <w:vAlign w:val="center"/>
                </w:tcPr>
                <w:p w14:paraId="4A8F940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污染物种类</w:t>
                  </w:r>
                </w:p>
              </w:tc>
              <w:tc>
                <w:tcPr>
                  <w:tcW w:w="1441" w:type="pct"/>
                  <w:gridSpan w:val="2"/>
                  <w:tcBorders>
                    <w:tl2br w:val="nil"/>
                    <w:tr2bl w:val="nil"/>
                  </w:tcBorders>
                  <w:vAlign w:val="center"/>
                </w:tcPr>
                <w:p w14:paraId="75EA9BD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污染物产生情况</w:t>
                  </w:r>
                </w:p>
              </w:tc>
              <w:tc>
                <w:tcPr>
                  <w:tcW w:w="1516" w:type="pct"/>
                  <w:gridSpan w:val="2"/>
                  <w:tcBorders>
                    <w:tl2br w:val="nil"/>
                    <w:tr2bl w:val="nil"/>
                  </w:tcBorders>
                  <w:vAlign w:val="center"/>
                </w:tcPr>
                <w:p w14:paraId="05DA710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治理措施</w:t>
                  </w:r>
                </w:p>
              </w:tc>
              <w:tc>
                <w:tcPr>
                  <w:tcW w:w="462" w:type="pct"/>
                  <w:vMerge w:val="restart"/>
                  <w:tcBorders>
                    <w:tl2br w:val="nil"/>
                    <w:tr2bl w:val="nil"/>
                  </w:tcBorders>
                  <w:vAlign w:val="center"/>
                </w:tcPr>
                <w:p w14:paraId="34EF5F2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是否为可行</w:t>
                  </w:r>
                </w:p>
                <w:p w14:paraId="3A65CC6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技术</w:t>
                  </w:r>
                </w:p>
              </w:tc>
            </w:tr>
            <w:tr w14:paraId="2BD3AF6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400D755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634872D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vMerge w:val="continue"/>
                  <w:tcBorders>
                    <w:tl2br w:val="nil"/>
                    <w:tr2bl w:val="nil"/>
                  </w:tcBorders>
                  <w:vAlign w:val="center"/>
                </w:tcPr>
                <w:p w14:paraId="74CE391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959" w:type="pct"/>
                  <w:tcBorders>
                    <w:tl2br w:val="nil"/>
                    <w:tr2bl w:val="nil"/>
                  </w:tcBorders>
                  <w:vAlign w:val="center"/>
                </w:tcPr>
                <w:p w14:paraId="0B931500">
                  <w:pPr>
                    <w:keepNext w:val="0"/>
                    <w:keepLines w:val="0"/>
                    <w:pageBreakBefore w:val="0"/>
                    <w:widowControl w:val="0"/>
                    <w:kinsoku/>
                    <w:wordWrap w:val="0"/>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产生浓度（mg/L，pH无量纲）</w:t>
                  </w:r>
                </w:p>
              </w:tc>
              <w:tc>
                <w:tcPr>
                  <w:tcW w:w="482" w:type="pct"/>
                  <w:tcBorders>
                    <w:tl2br w:val="nil"/>
                    <w:tr2bl w:val="nil"/>
                  </w:tcBorders>
                  <w:vAlign w:val="center"/>
                </w:tcPr>
                <w:p w14:paraId="74DB2ED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产生量（t/a）</w:t>
                  </w:r>
                </w:p>
              </w:tc>
              <w:tc>
                <w:tcPr>
                  <w:tcW w:w="1101" w:type="pct"/>
                  <w:tcBorders>
                    <w:tl2br w:val="nil"/>
                    <w:tr2bl w:val="nil"/>
                  </w:tcBorders>
                  <w:vAlign w:val="center"/>
                </w:tcPr>
                <w:p w14:paraId="56D05C9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处理能力及工艺</w:t>
                  </w:r>
                </w:p>
              </w:tc>
              <w:tc>
                <w:tcPr>
                  <w:tcW w:w="414" w:type="pct"/>
                  <w:tcBorders>
                    <w:tl2br w:val="nil"/>
                    <w:tr2bl w:val="nil"/>
                  </w:tcBorders>
                  <w:vAlign w:val="center"/>
                </w:tcPr>
                <w:p w14:paraId="67A3903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highlight w:val="none"/>
                      <w14:textFill>
                        <w14:solidFill>
                          <w14:schemeClr w14:val="tx1"/>
                        </w14:solidFill>
                      </w14:textFill>
                    </w:rPr>
                  </w:pPr>
                  <w:r>
                    <w:rPr>
                      <w:rFonts w:ascii="Times New Roman" w:hAnsi="Times New Roman" w:eastAsia="宋体"/>
                      <w:b/>
                      <w:bCs/>
                      <w:color w:val="000000" w:themeColor="text1"/>
                      <w:highlight w:val="none"/>
                      <w14:textFill>
                        <w14:solidFill>
                          <w14:schemeClr w14:val="tx1"/>
                        </w14:solidFill>
                      </w14:textFill>
                    </w:rPr>
                    <w:t>处理效率（%）</w:t>
                  </w:r>
                </w:p>
              </w:tc>
              <w:tc>
                <w:tcPr>
                  <w:tcW w:w="462" w:type="pct"/>
                  <w:vMerge w:val="continue"/>
                  <w:tcBorders>
                    <w:tl2br w:val="nil"/>
                    <w:tr2bl w:val="nil"/>
                  </w:tcBorders>
                  <w:vAlign w:val="center"/>
                </w:tcPr>
                <w:p w14:paraId="65CE2FF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0CDD9B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restart"/>
                  <w:tcBorders>
                    <w:tl2br w:val="nil"/>
                    <w:tr2bl w:val="nil"/>
                  </w:tcBorders>
                  <w:vAlign w:val="center"/>
                </w:tcPr>
                <w:p w14:paraId="1B9E66C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生产</w:t>
                  </w:r>
                </w:p>
              </w:tc>
              <w:tc>
                <w:tcPr>
                  <w:tcW w:w="672" w:type="pct"/>
                  <w:tcBorders>
                    <w:tl2br w:val="nil"/>
                    <w:tr2bl w:val="nil"/>
                  </w:tcBorders>
                  <w:vAlign w:val="center"/>
                </w:tcPr>
                <w:p w14:paraId="489E404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搅拌机冲洗、地坪冲洗</w:t>
                  </w:r>
                  <w:r>
                    <w:rPr>
                      <w:rFonts w:hint="eastAsia" w:ascii="Times New Roman" w:hAnsi="Times New Roman" w:eastAsia="宋体"/>
                      <w:color w:val="000000" w:themeColor="text1"/>
                      <w:szCs w:val="21"/>
                      <w:highlight w:val="none"/>
                      <w:lang w:eastAsia="zh-CN"/>
                      <w14:textFill>
                        <w14:solidFill>
                          <w14:schemeClr w14:val="tx1"/>
                        </w14:solidFill>
                      </w14:textFill>
                    </w:rPr>
                    <w:t>废水等</w:t>
                  </w:r>
                </w:p>
              </w:tc>
              <w:tc>
                <w:tcPr>
                  <w:tcW w:w="488" w:type="pct"/>
                  <w:tcBorders>
                    <w:tl2br w:val="nil"/>
                    <w:tr2bl w:val="nil"/>
                  </w:tcBorders>
                  <w:vAlign w:val="center"/>
                </w:tcPr>
                <w:p w14:paraId="3B89608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w:t>
                  </w:r>
                </w:p>
              </w:tc>
              <w:tc>
                <w:tcPr>
                  <w:tcW w:w="959" w:type="pct"/>
                  <w:tcBorders>
                    <w:tl2br w:val="nil"/>
                    <w:tr2bl w:val="nil"/>
                  </w:tcBorders>
                  <w:vAlign w:val="center"/>
                </w:tcPr>
                <w:p w14:paraId="69D6CBB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1500~2000</w:t>
                  </w:r>
                </w:p>
              </w:tc>
              <w:tc>
                <w:tcPr>
                  <w:tcW w:w="482" w:type="pct"/>
                  <w:tcBorders>
                    <w:tl2br w:val="nil"/>
                    <w:tr2bl w:val="nil"/>
                  </w:tcBorders>
                  <w:vAlign w:val="center"/>
                </w:tcPr>
                <w:p w14:paraId="5D66779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25777.5</w:t>
                  </w:r>
                </w:p>
              </w:tc>
              <w:tc>
                <w:tcPr>
                  <w:tcW w:w="1101" w:type="pct"/>
                  <w:tcBorders>
                    <w:tl2br w:val="nil"/>
                    <w:tr2bl w:val="nil"/>
                  </w:tcBorders>
                  <w:vAlign w:val="center"/>
                </w:tcPr>
                <w:p w14:paraId="4BF15B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砂石分离机</w:t>
                  </w:r>
                  <w:r>
                    <w:rPr>
                      <w:rFonts w:hint="eastAsia" w:ascii="Times New Roman" w:hAnsi="Times New Roman" w:eastAsia="宋体"/>
                      <w:color w:val="000000" w:themeColor="text1"/>
                      <w:highlight w:val="none"/>
                      <w:lang w:val="en-US" w:eastAsia="zh-CN"/>
                      <w14:textFill>
                        <w14:solidFill>
                          <w14:schemeClr w14:val="tx1"/>
                        </w14:solidFill>
                      </w14:textFill>
                    </w:rPr>
                    <w:t>+</w:t>
                  </w:r>
                  <w:r>
                    <w:rPr>
                      <w:rFonts w:hint="eastAsia" w:ascii="Times New Roman" w:hAnsi="Times New Roman" w:eastAsia="宋体"/>
                      <w:color w:val="000000" w:themeColor="text1"/>
                      <w:highlight w:val="none"/>
                      <w:lang w:eastAsia="zh-CN"/>
                      <w14:textFill>
                        <w14:solidFill>
                          <w14:schemeClr w14:val="tx1"/>
                        </w14:solidFill>
                      </w14:textFill>
                    </w:rPr>
                    <w:t>五级沉淀</w:t>
                  </w:r>
                  <w:r>
                    <w:rPr>
                      <w:rFonts w:hint="eastAsia" w:ascii="Times New Roman" w:hAnsi="Times New Roman" w:eastAsia="宋体"/>
                      <w:color w:val="000000" w:themeColor="text1"/>
                      <w:highlight w:val="none"/>
                      <w14:textFill>
                        <w14:solidFill>
                          <w14:schemeClr w14:val="tx1"/>
                        </w14:solidFill>
                      </w14:textFill>
                    </w:rPr>
                    <w:t>池（</w:t>
                  </w:r>
                  <w:r>
                    <w:rPr>
                      <w:rFonts w:hint="eastAsia" w:ascii="Times New Roman" w:hAnsi="Times New Roman" w:eastAsia="宋体"/>
                      <w:color w:val="000000" w:themeColor="text1"/>
                      <w:highlight w:val="none"/>
                      <w:lang w:val="en-US" w:eastAsia="zh-CN"/>
                      <w14:textFill>
                        <w14:solidFill>
                          <w14:schemeClr w14:val="tx1"/>
                        </w14:solidFill>
                      </w14:textFill>
                    </w:rPr>
                    <w:t>20</w:t>
                  </w:r>
                  <w:r>
                    <w:rPr>
                      <w:rFonts w:hint="eastAsia" w:ascii="Times New Roman" w:hAnsi="Times New Roman" w:eastAsia="宋体"/>
                      <w:color w:val="000000" w:themeColor="text1"/>
                      <w:highlight w:val="none"/>
                      <w14:textFill>
                        <w14:solidFill>
                          <w14:schemeClr w14:val="tx1"/>
                        </w14:solidFill>
                      </w14:textFill>
                    </w:rPr>
                    <w:t>0m</w:t>
                  </w:r>
                  <w:r>
                    <w:rPr>
                      <w:rFonts w:hint="eastAsia" w:ascii="Times New Roman" w:hAnsi="Times New Roman" w:eastAsia="宋体"/>
                      <w:color w:val="000000" w:themeColor="text1"/>
                      <w:highlight w:val="none"/>
                      <w:vertAlign w:val="superscript"/>
                      <w14:textFill>
                        <w14:solidFill>
                          <w14:schemeClr w14:val="tx1"/>
                        </w14:solidFill>
                      </w14:textFill>
                    </w:rPr>
                    <w:t>3</w:t>
                  </w:r>
                  <w:r>
                    <w:rPr>
                      <w:rFonts w:hint="eastAsia" w:ascii="Times New Roman" w:hAnsi="Times New Roman" w:eastAsia="宋体"/>
                      <w:color w:val="000000" w:themeColor="text1"/>
                      <w:highlight w:val="none"/>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+板框压滤机</w:t>
                  </w:r>
                </w:p>
              </w:tc>
              <w:tc>
                <w:tcPr>
                  <w:tcW w:w="414" w:type="pct"/>
                  <w:vMerge w:val="restart"/>
                  <w:tcBorders>
                    <w:tl2br w:val="nil"/>
                    <w:tr2bl w:val="nil"/>
                  </w:tcBorders>
                  <w:vAlign w:val="center"/>
                </w:tcPr>
                <w:p w14:paraId="0E8AA47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85%</w:t>
                  </w:r>
                </w:p>
              </w:tc>
              <w:tc>
                <w:tcPr>
                  <w:tcW w:w="462" w:type="pct"/>
                  <w:tcBorders>
                    <w:tl2br w:val="nil"/>
                    <w:tr2bl w:val="nil"/>
                  </w:tcBorders>
                  <w:vAlign w:val="center"/>
                </w:tcPr>
                <w:p w14:paraId="3CA845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是</w:t>
                  </w:r>
                </w:p>
              </w:tc>
            </w:tr>
            <w:tr w14:paraId="55074B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16FCCD9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14:textFill>
                        <w14:solidFill>
                          <w14:schemeClr w14:val="tx1"/>
                        </w14:solidFill>
                      </w14:textFill>
                    </w:rPr>
                  </w:pPr>
                </w:p>
              </w:tc>
              <w:tc>
                <w:tcPr>
                  <w:tcW w:w="672" w:type="pct"/>
                  <w:tcBorders>
                    <w:tl2br w:val="nil"/>
                    <w:tr2bl w:val="nil"/>
                  </w:tcBorders>
                  <w:vAlign w:val="center"/>
                </w:tcPr>
                <w:p w14:paraId="7B30EBB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养护废水</w:t>
                  </w:r>
                </w:p>
              </w:tc>
              <w:tc>
                <w:tcPr>
                  <w:tcW w:w="488" w:type="pct"/>
                  <w:tcBorders>
                    <w:tl2br w:val="nil"/>
                    <w:tr2bl w:val="nil"/>
                  </w:tcBorders>
                  <w:vAlign w:val="center"/>
                </w:tcPr>
                <w:p w14:paraId="6699988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全盐量、</w:t>
                  </w:r>
                  <w:r>
                    <w:rPr>
                      <w:rFonts w:hint="eastAsia" w:ascii="Times New Roman" w:hAnsi="Times New Roman" w:eastAsia="宋体"/>
                      <w:color w:val="000000" w:themeColor="text1"/>
                      <w:highlight w:val="none"/>
                      <w:lang w:val="en-US" w:eastAsia="zh-CN"/>
                      <w14:textFill>
                        <w14:solidFill>
                          <w14:schemeClr w14:val="tx1"/>
                        </w14:solidFill>
                      </w14:textFill>
                    </w:rPr>
                    <w:t>SS</w:t>
                  </w:r>
                </w:p>
              </w:tc>
              <w:tc>
                <w:tcPr>
                  <w:tcW w:w="959" w:type="pct"/>
                  <w:tcBorders>
                    <w:tl2br w:val="nil"/>
                    <w:tr2bl w:val="nil"/>
                  </w:tcBorders>
                  <w:vAlign w:val="center"/>
                </w:tcPr>
                <w:p w14:paraId="3537471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全盐量：</w:t>
                  </w:r>
                  <w:r>
                    <w:rPr>
                      <w:rFonts w:hint="eastAsia" w:ascii="Times New Roman" w:hAnsi="Times New Roman" w:eastAsia="宋体"/>
                      <w:color w:val="000000" w:themeColor="text1"/>
                      <w:highlight w:val="none"/>
                      <w:lang w:val="en-US" w:eastAsia="zh-CN"/>
                      <w14:textFill>
                        <w14:solidFill>
                          <w14:schemeClr w14:val="tx1"/>
                        </w14:solidFill>
                      </w14:textFill>
                    </w:rPr>
                    <w:t>1000</w:t>
                  </w:r>
                </w:p>
                <w:p w14:paraId="169A19B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w:t>
                  </w:r>
                  <w:r>
                    <w:rPr>
                      <w:rFonts w:hint="eastAsia" w:ascii="Times New Roman" w:hAnsi="Times New Roman" w:eastAsia="宋体"/>
                      <w:color w:val="000000" w:themeColor="text1"/>
                      <w:highlight w:val="none"/>
                      <w:lang w:val="en-US" w:eastAsia="zh-CN"/>
                      <w14:textFill>
                        <w14:solidFill>
                          <w14:schemeClr w14:val="tx1"/>
                        </w14:solidFill>
                      </w14:textFill>
                    </w:rPr>
                    <w:t>50</w:t>
                  </w:r>
                </w:p>
              </w:tc>
              <w:tc>
                <w:tcPr>
                  <w:tcW w:w="482" w:type="pct"/>
                  <w:tcBorders>
                    <w:tl2br w:val="nil"/>
                    <w:tr2bl w:val="nil"/>
                  </w:tcBorders>
                  <w:vAlign w:val="center"/>
                </w:tcPr>
                <w:p w14:paraId="7673A7F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1025</w:t>
                  </w:r>
                </w:p>
              </w:tc>
              <w:tc>
                <w:tcPr>
                  <w:tcW w:w="1101" w:type="pct"/>
                  <w:tcBorders>
                    <w:tl2br w:val="nil"/>
                    <w:tr2bl w:val="nil"/>
                  </w:tcBorders>
                  <w:vAlign w:val="center"/>
                </w:tcPr>
                <w:p w14:paraId="4A275F0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沉淀池（</w:t>
                  </w:r>
                  <w:r>
                    <w:rPr>
                      <w:rFonts w:hint="eastAsia" w:ascii="Times New Roman" w:hAnsi="Times New Roman" w:eastAsia="宋体"/>
                      <w:color w:val="000000" w:themeColor="text1"/>
                      <w:highlight w:val="none"/>
                      <w:lang w:val="en-US" w:eastAsia="zh-CN"/>
                      <w14:textFill>
                        <w14:solidFill>
                          <w14:schemeClr w14:val="tx1"/>
                        </w14:solidFill>
                      </w14:textFill>
                    </w:rPr>
                    <w:t>10</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p>
              </w:tc>
              <w:tc>
                <w:tcPr>
                  <w:tcW w:w="414" w:type="pct"/>
                  <w:vMerge w:val="continue"/>
                  <w:tcBorders>
                    <w:tl2br w:val="nil"/>
                    <w:tr2bl w:val="nil"/>
                  </w:tcBorders>
                  <w:vAlign w:val="center"/>
                </w:tcPr>
                <w:p w14:paraId="5B36511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14:textFill>
                        <w14:solidFill>
                          <w14:schemeClr w14:val="tx1"/>
                        </w14:solidFill>
                      </w14:textFill>
                    </w:rPr>
                  </w:pPr>
                </w:p>
              </w:tc>
              <w:tc>
                <w:tcPr>
                  <w:tcW w:w="462" w:type="pct"/>
                  <w:tcBorders>
                    <w:tl2br w:val="nil"/>
                    <w:tr2bl w:val="nil"/>
                  </w:tcBorders>
                  <w:vAlign w:val="center"/>
                </w:tcPr>
                <w:p w14:paraId="799E4B7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是</w:t>
                  </w:r>
                </w:p>
              </w:tc>
            </w:tr>
            <w:tr w14:paraId="4D044AA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56332BF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tcBorders>
                    <w:tl2br w:val="nil"/>
                    <w:tr2bl w:val="nil"/>
                  </w:tcBorders>
                  <w:vAlign w:val="center"/>
                </w:tcPr>
                <w:p w14:paraId="3213585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运输车辆冲洗</w:t>
                  </w:r>
                  <w:r>
                    <w:rPr>
                      <w:rFonts w:hint="eastAsia" w:ascii="Times New Roman" w:hAnsi="Times New Roman" w:eastAsia="宋体"/>
                      <w:color w:val="000000" w:themeColor="text1"/>
                      <w:szCs w:val="21"/>
                      <w:highlight w:val="none"/>
                      <w:lang w:eastAsia="zh-CN"/>
                      <w14:textFill>
                        <w14:solidFill>
                          <w14:schemeClr w14:val="tx1"/>
                        </w14:solidFill>
                      </w14:textFill>
                    </w:rPr>
                    <w:t>废水</w:t>
                  </w:r>
                </w:p>
              </w:tc>
              <w:tc>
                <w:tcPr>
                  <w:tcW w:w="488" w:type="pct"/>
                  <w:tcBorders>
                    <w:tl2br w:val="nil"/>
                    <w:tr2bl w:val="nil"/>
                  </w:tcBorders>
                  <w:vAlign w:val="center"/>
                </w:tcPr>
                <w:p w14:paraId="718A946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SS、石油类</w:t>
                  </w:r>
                </w:p>
              </w:tc>
              <w:tc>
                <w:tcPr>
                  <w:tcW w:w="959" w:type="pct"/>
                  <w:tcBorders>
                    <w:tl2br w:val="nil"/>
                    <w:tr2bl w:val="nil"/>
                  </w:tcBorders>
                  <w:vAlign w:val="center"/>
                </w:tcPr>
                <w:p w14:paraId="416A491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SS：1500~2000石油类：30</w:t>
                  </w:r>
                </w:p>
              </w:tc>
              <w:tc>
                <w:tcPr>
                  <w:tcW w:w="482" w:type="pct"/>
                  <w:tcBorders>
                    <w:tl2br w:val="nil"/>
                    <w:tr2bl w:val="nil"/>
                  </w:tcBorders>
                  <w:vAlign w:val="center"/>
                </w:tcPr>
                <w:p w14:paraId="7CBE39F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8190</w:t>
                  </w:r>
                </w:p>
              </w:tc>
              <w:tc>
                <w:tcPr>
                  <w:tcW w:w="1101" w:type="pct"/>
                  <w:tcBorders>
                    <w:tl2br w:val="nil"/>
                    <w:tr2bl w:val="nil"/>
                  </w:tcBorders>
                  <w:vAlign w:val="center"/>
                </w:tcPr>
                <w:p w14:paraId="34E0C0A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隔油沉淀池</w:t>
                  </w:r>
                  <w:r>
                    <w:rPr>
                      <w:rFonts w:hint="eastAsia" w:ascii="Times New Roman" w:hAnsi="Times New Roman" w:eastAsia="宋体"/>
                      <w:color w:val="000000" w:themeColor="text1"/>
                      <w:highlight w:val="none"/>
                      <w:lang w:eastAsia="zh-CN"/>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25</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p>
              </w:tc>
              <w:tc>
                <w:tcPr>
                  <w:tcW w:w="414" w:type="pct"/>
                  <w:vMerge w:val="continue"/>
                  <w:tcBorders>
                    <w:tl2br w:val="nil"/>
                    <w:tr2bl w:val="nil"/>
                  </w:tcBorders>
                  <w:vAlign w:val="center"/>
                </w:tcPr>
                <w:p w14:paraId="1A4C7B3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62" w:type="pct"/>
                  <w:tcBorders>
                    <w:tl2br w:val="nil"/>
                    <w:tr2bl w:val="nil"/>
                  </w:tcBorders>
                  <w:vAlign w:val="center"/>
                </w:tcPr>
                <w:p w14:paraId="60604A7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是</w:t>
                  </w:r>
                </w:p>
              </w:tc>
            </w:tr>
            <w:tr w14:paraId="5B2358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tcBorders>
                    <w:tl2br w:val="nil"/>
                    <w:tr2bl w:val="nil"/>
                  </w:tcBorders>
                  <w:vAlign w:val="center"/>
                </w:tcPr>
                <w:p w14:paraId="78B0EDE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雨水</w:t>
                  </w:r>
                </w:p>
              </w:tc>
              <w:tc>
                <w:tcPr>
                  <w:tcW w:w="672" w:type="pct"/>
                  <w:tcBorders>
                    <w:tl2br w:val="nil"/>
                    <w:tr2bl w:val="nil"/>
                  </w:tcBorders>
                  <w:vAlign w:val="center"/>
                </w:tcPr>
                <w:p w14:paraId="6E82019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w:t>
                  </w:r>
                </w:p>
              </w:tc>
              <w:tc>
                <w:tcPr>
                  <w:tcW w:w="488" w:type="pct"/>
                  <w:tcBorders>
                    <w:tl2br w:val="nil"/>
                    <w:tr2bl w:val="nil"/>
                  </w:tcBorders>
                  <w:vAlign w:val="center"/>
                </w:tcPr>
                <w:p w14:paraId="7643FDF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SS</w:t>
                  </w:r>
                </w:p>
              </w:tc>
              <w:tc>
                <w:tcPr>
                  <w:tcW w:w="959" w:type="pct"/>
                  <w:tcBorders>
                    <w:tl2br w:val="nil"/>
                    <w:tr2bl w:val="nil"/>
                  </w:tcBorders>
                  <w:vAlign w:val="center"/>
                </w:tcPr>
                <w:p w14:paraId="1EFF98B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500~700</w:t>
                  </w:r>
                </w:p>
              </w:tc>
              <w:tc>
                <w:tcPr>
                  <w:tcW w:w="482" w:type="pct"/>
                  <w:tcBorders>
                    <w:tl2br w:val="nil"/>
                    <w:tr2bl w:val="nil"/>
                  </w:tcBorders>
                  <w:vAlign w:val="center"/>
                </w:tcPr>
                <w:p w14:paraId="0EC1360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w:t>
                  </w:r>
                </w:p>
              </w:tc>
              <w:tc>
                <w:tcPr>
                  <w:tcW w:w="1101" w:type="pct"/>
                  <w:tcBorders>
                    <w:tl2br w:val="nil"/>
                    <w:tr2bl w:val="nil"/>
                  </w:tcBorders>
                  <w:vAlign w:val="center"/>
                </w:tcPr>
                <w:p w14:paraId="67E6A3E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lang w:eastAsia="zh-CN"/>
                      <w14:textFill>
                        <w14:solidFill>
                          <w14:schemeClr w14:val="tx1"/>
                        </w14:solidFill>
                      </w14:textFill>
                    </w:rPr>
                    <w:t>雨水收集</w:t>
                  </w:r>
                  <w:r>
                    <w:rPr>
                      <w:rFonts w:hint="eastAsia" w:ascii="Times New Roman" w:hAnsi="Times New Roman" w:eastAsia="宋体"/>
                      <w:color w:val="000000" w:themeColor="text1"/>
                      <w:highlight w:val="none"/>
                      <w14:textFill>
                        <w14:solidFill>
                          <w14:schemeClr w14:val="tx1"/>
                        </w14:solidFill>
                      </w14:textFill>
                    </w:rPr>
                    <w:t>池</w:t>
                  </w:r>
                  <w:r>
                    <w:rPr>
                      <w:rFonts w:hint="eastAsia" w:ascii="Times New Roman" w:hAnsi="Times New Roman" w:eastAsia="宋体"/>
                      <w:color w:val="000000" w:themeColor="text1"/>
                      <w:highlight w:val="none"/>
                      <w:lang w:eastAsia="zh-CN"/>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300</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p>
              </w:tc>
              <w:tc>
                <w:tcPr>
                  <w:tcW w:w="414" w:type="pct"/>
                  <w:tcBorders>
                    <w:tl2br w:val="nil"/>
                    <w:tr2bl w:val="nil"/>
                  </w:tcBorders>
                  <w:vAlign w:val="center"/>
                </w:tcPr>
                <w:p w14:paraId="10AF013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80%</w:t>
                  </w:r>
                </w:p>
              </w:tc>
              <w:tc>
                <w:tcPr>
                  <w:tcW w:w="462" w:type="pct"/>
                  <w:tcBorders>
                    <w:tl2br w:val="nil"/>
                    <w:tr2bl w:val="nil"/>
                  </w:tcBorders>
                  <w:vAlign w:val="center"/>
                </w:tcPr>
                <w:p w14:paraId="15BA3F5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是</w:t>
                  </w:r>
                </w:p>
              </w:tc>
            </w:tr>
            <w:tr w14:paraId="2C9CBE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restart"/>
                  <w:tcBorders>
                    <w:tl2br w:val="nil"/>
                    <w:tr2bl w:val="nil"/>
                  </w:tcBorders>
                  <w:vAlign w:val="center"/>
                </w:tcPr>
                <w:p w14:paraId="3E6FD8F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办公、生活</w:t>
                  </w:r>
                </w:p>
              </w:tc>
              <w:tc>
                <w:tcPr>
                  <w:tcW w:w="672" w:type="pct"/>
                  <w:vMerge w:val="restart"/>
                  <w:tcBorders>
                    <w:tl2br w:val="nil"/>
                    <w:tr2bl w:val="nil"/>
                  </w:tcBorders>
                  <w:vAlign w:val="center"/>
                </w:tcPr>
                <w:p w14:paraId="3974C59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hint="eastAsia" w:ascii="Times New Roman" w:hAnsi="Times New Roman" w:eastAsia="宋体"/>
                      <w:color w:val="000000" w:themeColor="text1"/>
                      <w:highlight w:val="none"/>
                      <w14:textFill>
                        <w14:solidFill>
                          <w14:schemeClr w14:val="tx1"/>
                        </w14:solidFill>
                      </w14:textFill>
                    </w:rPr>
                    <w:t>生活污水</w:t>
                  </w:r>
                </w:p>
              </w:tc>
              <w:tc>
                <w:tcPr>
                  <w:tcW w:w="488" w:type="pct"/>
                  <w:tcBorders>
                    <w:tl2br w:val="nil"/>
                    <w:tr2bl w:val="nil"/>
                  </w:tcBorders>
                  <w:vAlign w:val="center"/>
                </w:tcPr>
                <w:p w14:paraId="5DFF1E1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pH</w:t>
                  </w:r>
                </w:p>
              </w:tc>
              <w:tc>
                <w:tcPr>
                  <w:tcW w:w="959" w:type="pct"/>
                  <w:tcBorders>
                    <w:tl2br w:val="nil"/>
                    <w:tr2bl w:val="nil"/>
                  </w:tcBorders>
                  <w:vAlign w:val="center"/>
                </w:tcPr>
                <w:p w14:paraId="712FF86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6~9</w:t>
                  </w:r>
                </w:p>
              </w:tc>
              <w:tc>
                <w:tcPr>
                  <w:tcW w:w="482" w:type="pct"/>
                  <w:tcBorders>
                    <w:tl2br w:val="nil"/>
                    <w:tr2bl w:val="nil"/>
                  </w:tcBorders>
                  <w:vAlign w:val="center"/>
                </w:tcPr>
                <w:p w14:paraId="278C192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w:t>
                  </w:r>
                </w:p>
              </w:tc>
              <w:tc>
                <w:tcPr>
                  <w:tcW w:w="1101" w:type="pct"/>
                  <w:vMerge w:val="restart"/>
                  <w:tcBorders>
                    <w:tl2br w:val="nil"/>
                    <w:tr2bl w:val="nil"/>
                  </w:tcBorders>
                  <w:vAlign w:val="center"/>
                </w:tcPr>
                <w:p w14:paraId="04B33B7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化粪池</w:t>
                  </w:r>
                  <w:r>
                    <w:rPr>
                      <w:rFonts w:hint="eastAsia" w:ascii="Times New Roman" w:hAnsi="Times New Roman" w:eastAsia="宋体"/>
                      <w:color w:val="000000" w:themeColor="text1"/>
                      <w:highlight w:val="none"/>
                      <w:lang w:eastAsia="zh-CN"/>
                      <w14:textFill>
                        <w14:solidFill>
                          <w14:schemeClr w14:val="tx1"/>
                        </w14:solidFill>
                      </w14:textFill>
                    </w:rPr>
                    <w:t>（</w:t>
                  </w:r>
                  <w:r>
                    <w:rPr>
                      <w:rFonts w:hint="eastAsia" w:ascii="Times New Roman" w:hAnsi="Times New Roman" w:eastAsia="宋体"/>
                      <w:color w:val="000000" w:themeColor="text1"/>
                      <w:highlight w:val="none"/>
                      <w:lang w:val="en-US" w:eastAsia="zh-CN"/>
                      <w14:textFill>
                        <w14:solidFill>
                          <w14:schemeClr w14:val="tx1"/>
                        </w14:solidFill>
                      </w14:textFill>
                    </w:rPr>
                    <w:t>40</w:t>
                  </w:r>
                  <w:r>
                    <w:rPr>
                      <w:rFonts w:hint="eastAsia" w:ascii="Times New Roman" w:hAnsi="Times New Roman" w:eastAsia="宋体"/>
                      <w:color w:val="000000" w:themeColor="text1"/>
                      <w:highlight w:val="none"/>
                      <w:lang w:eastAsia="zh-CN"/>
                      <w14:textFill>
                        <w14:solidFill>
                          <w14:schemeClr w14:val="tx1"/>
                        </w14:solidFill>
                      </w14:textFill>
                    </w:rPr>
                    <w:t>m</w:t>
                  </w:r>
                  <w:r>
                    <w:rPr>
                      <w:rFonts w:hint="eastAsia" w:ascii="Times New Roman" w:hAnsi="Times New Roman" w:eastAsia="宋体"/>
                      <w:color w:val="000000" w:themeColor="text1"/>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highlight w:val="none"/>
                      <w:lang w:eastAsia="zh-CN"/>
                      <w14:textFill>
                        <w14:solidFill>
                          <w14:schemeClr w14:val="tx1"/>
                        </w14:solidFill>
                      </w14:textFill>
                    </w:rPr>
                    <w:t>）</w:t>
                  </w:r>
                  <w:r>
                    <w:rPr>
                      <w:rFonts w:ascii="Times New Roman" w:hAnsi="Times New Roman" w:eastAsia="宋体"/>
                      <w:color w:val="000000" w:themeColor="text1"/>
                      <w:highlight w:val="none"/>
                      <w14:textFill>
                        <w14:solidFill>
                          <w14:schemeClr w14:val="tx1"/>
                        </w14:solidFill>
                      </w14:textFill>
                    </w:rPr>
                    <w:t>处理</w:t>
                  </w:r>
                  <w:r>
                    <w:rPr>
                      <w:rFonts w:hint="eastAsia" w:ascii="Times New Roman" w:hAnsi="Times New Roman" w:eastAsia="宋体"/>
                      <w:color w:val="000000" w:themeColor="text1"/>
                      <w:highlight w:val="none"/>
                      <w:lang w:eastAsia="zh-CN"/>
                      <w14:textFill>
                        <w14:solidFill>
                          <w14:schemeClr w14:val="tx1"/>
                        </w14:solidFill>
                      </w14:textFill>
                    </w:rPr>
                    <w:t>后进入宝梵污水处理厂</w:t>
                  </w:r>
                </w:p>
              </w:tc>
              <w:tc>
                <w:tcPr>
                  <w:tcW w:w="414" w:type="pct"/>
                  <w:tcBorders>
                    <w:tl2br w:val="nil"/>
                    <w:tr2bl w:val="nil"/>
                  </w:tcBorders>
                  <w:vAlign w:val="center"/>
                </w:tcPr>
                <w:p w14:paraId="0FDC184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w:t>
                  </w:r>
                </w:p>
              </w:tc>
              <w:tc>
                <w:tcPr>
                  <w:tcW w:w="462" w:type="pct"/>
                  <w:vMerge w:val="restart"/>
                  <w:tcBorders>
                    <w:tl2br w:val="nil"/>
                    <w:tr2bl w:val="nil"/>
                  </w:tcBorders>
                  <w:vAlign w:val="center"/>
                </w:tcPr>
                <w:p w14:paraId="7DD8C85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是</w:t>
                  </w:r>
                </w:p>
              </w:tc>
            </w:tr>
            <w:tr w14:paraId="1C06C8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6386756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73E0D07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48E5E4F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COD</w:t>
                  </w:r>
                </w:p>
              </w:tc>
              <w:tc>
                <w:tcPr>
                  <w:tcW w:w="959" w:type="pct"/>
                  <w:tcBorders>
                    <w:tl2br w:val="nil"/>
                    <w:tr2bl w:val="nil"/>
                  </w:tcBorders>
                  <w:vAlign w:val="center"/>
                </w:tcPr>
                <w:p w14:paraId="14DE540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550</w:t>
                  </w:r>
                </w:p>
              </w:tc>
              <w:tc>
                <w:tcPr>
                  <w:tcW w:w="482" w:type="pct"/>
                  <w:tcBorders>
                    <w:tl2br w:val="nil"/>
                    <w:tr2bl w:val="nil"/>
                  </w:tcBorders>
                  <w:vAlign w:val="center"/>
                </w:tcPr>
                <w:p w14:paraId="1F7665C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2.2176</w:t>
                  </w:r>
                </w:p>
              </w:tc>
              <w:tc>
                <w:tcPr>
                  <w:tcW w:w="1101" w:type="pct"/>
                  <w:vMerge w:val="continue"/>
                  <w:tcBorders>
                    <w:tl2br w:val="nil"/>
                    <w:tr2bl w:val="nil"/>
                  </w:tcBorders>
                  <w:vAlign w:val="center"/>
                </w:tcPr>
                <w:p w14:paraId="640DC33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5C47A63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66%</w:t>
                  </w:r>
                </w:p>
              </w:tc>
              <w:tc>
                <w:tcPr>
                  <w:tcW w:w="462" w:type="pct"/>
                  <w:vMerge w:val="continue"/>
                  <w:tcBorders>
                    <w:tl2br w:val="nil"/>
                    <w:tr2bl w:val="nil"/>
                  </w:tcBorders>
                  <w:vAlign w:val="center"/>
                </w:tcPr>
                <w:p w14:paraId="298C313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7FE842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5C29CE5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0BBF324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1A4FADA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BOD</w:t>
                  </w:r>
                  <w:r>
                    <w:rPr>
                      <w:rFonts w:ascii="Times New Roman" w:hAnsi="Times New Roman" w:eastAsia="宋体"/>
                      <w:color w:val="000000" w:themeColor="text1"/>
                      <w:highlight w:val="none"/>
                      <w:vertAlign w:val="subscript"/>
                      <w14:textFill>
                        <w14:solidFill>
                          <w14:schemeClr w14:val="tx1"/>
                        </w14:solidFill>
                      </w14:textFill>
                    </w:rPr>
                    <w:t>5</w:t>
                  </w:r>
                </w:p>
              </w:tc>
              <w:tc>
                <w:tcPr>
                  <w:tcW w:w="959" w:type="pct"/>
                  <w:tcBorders>
                    <w:tl2br w:val="nil"/>
                    <w:tr2bl w:val="nil"/>
                  </w:tcBorders>
                  <w:vAlign w:val="center"/>
                </w:tcPr>
                <w:p w14:paraId="6C542CF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350</w:t>
                  </w:r>
                </w:p>
              </w:tc>
              <w:tc>
                <w:tcPr>
                  <w:tcW w:w="482" w:type="pct"/>
                  <w:tcBorders>
                    <w:tl2br w:val="nil"/>
                    <w:tr2bl w:val="nil"/>
                  </w:tcBorders>
                  <w:vAlign w:val="center"/>
                </w:tcPr>
                <w:p w14:paraId="2C1F3C2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1.4112</w:t>
                  </w:r>
                </w:p>
              </w:tc>
              <w:tc>
                <w:tcPr>
                  <w:tcW w:w="1101" w:type="pct"/>
                  <w:vMerge w:val="continue"/>
                  <w:tcBorders>
                    <w:tl2br w:val="nil"/>
                    <w:tr2bl w:val="nil"/>
                  </w:tcBorders>
                  <w:vAlign w:val="center"/>
                </w:tcPr>
                <w:p w14:paraId="26744BC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23F025D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60%</w:t>
                  </w:r>
                </w:p>
              </w:tc>
              <w:tc>
                <w:tcPr>
                  <w:tcW w:w="462" w:type="pct"/>
                  <w:vMerge w:val="continue"/>
                  <w:tcBorders>
                    <w:tl2br w:val="nil"/>
                    <w:tr2bl w:val="nil"/>
                  </w:tcBorders>
                  <w:vAlign w:val="center"/>
                </w:tcPr>
                <w:p w14:paraId="3425CA4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5C3A5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798E685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6C518AB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1BD75C5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SS</w:t>
                  </w:r>
                </w:p>
              </w:tc>
              <w:tc>
                <w:tcPr>
                  <w:tcW w:w="959" w:type="pct"/>
                  <w:tcBorders>
                    <w:tl2br w:val="nil"/>
                    <w:tr2bl w:val="nil"/>
                  </w:tcBorders>
                  <w:vAlign w:val="center"/>
                </w:tcPr>
                <w:p w14:paraId="6BF221C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500</w:t>
                  </w:r>
                </w:p>
              </w:tc>
              <w:tc>
                <w:tcPr>
                  <w:tcW w:w="482" w:type="pct"/>
                  <w:tcBorders>
                    <w:tl2br w:val="nil"/>
                    <w:tr2bl w:val="nil"/>
                  </w:tcBorders>
                  <w:vAlign w:val="center"/>
                </w:tcPr>
                <w:p w14:paraId="26C61A5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2.016</w:t>
                  </w:r>
                </w:p>
              </w:tc>
              <w:tc>
                <w:tcPr>
                  <w:tcW w:w="1101" w:type="pct"/>
                  <w:vMerge w:val="continue"/>
                  <w:tcBorders>
                    <w:tl2br w:val="nil"/>
                    <w:tr2bl w:val="nil"/>
                  </w:tcBorders>
                  <w:vAlign w:val="center"/>
                </w:tcPr>
                <w:p w14:paraId="524DEF8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1E9E87A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85%</w:t>
                  </w:r>
                </w:p>
              </w:tc>
              <w:tc>
                <w:tcPr>
                  <w:tcW w:w="462" w:type="pct"/>
                  <w:vMerge w:val="continue"/>
                  <w:tcBorders>
                    <w:tl2br w:val="nil"/>
                    <w:tr2bl w:val="nil"/>
                  </w:tcBorders>
                  <w:vAlign w:val="center"/>
                </w:tcPr>
                <w:p w14:paraId="089466B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508CBA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6BF3A9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358896D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1C0498A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氨氮</w:t>
                  </w:r>
                </w:p>
              </w:tc>
              <w:tc>
                <w:tcPr>
                  <w:tcW w:w="959" w:type="pct"/>
                  <w:tcBorders>
                    <w:tl2br w:val="nil"/>
                    <w:tr2bl w:val="nil"/>
                  </w:tcBorders>
                  <w:vAlign w:val="center"/>
                </w:tcPr>
                <w:p w14:paraId="3DA9D07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45</w:t>
                  </w:r>
                </w:p>
              </w:tc>
              <w:tc>
                <w:tcPr>
                  <w:tcW w:w="482" w:type="pct"/>
                  <w:tcBorders>
                    <w:tl2br w:val="nil"/>
                    <w:tr2bl w:val="nil"/>
                  </w:tcBorders>
                  <w:vAlign w:val="center"/>
                </w:tcPr>
                <w:p w14:paraId="41F88CC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0.1814</w:t>
                  </w:r>
                </w:p>
              </w:tc>
              <w:tc>
                <w:tcPr>
                  <w:tcW w:w="1101" w:type="pct"/>
                  <w:vMerge w:val="continue"/>
                  <w:tcBorders>
                    <w:tl2br w:val="nil"/>
                    <w:tr2bl w:val="nil"/>
                  </w:tcBorders>
                  <w:vAlign w:val="center"/>
                </w:tcPr>
                <w:p w14:paraId="58E7F97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48A34BD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54%</w:t>
                  </w:r>
                </w:p>
              </w:tc>
              <w:tc>
                <w:tcPr>
                  <w:tcW w:w="462" w:type="pct"/>
                  <w:vMerge w:val="continue"/>
                  <w:tcBorders>
                    <w:tl2br w:val="nil"/>
                    <w:tr2bl w:val="nil"/>
                  </w:tcBorders>
                  <w:vAlign w:val="center"/>
                </w:tcPr>
                <w:p w14:paraId="2D546D8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r w14:paraId="00AAB8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417" w:type="pct"/>
                  <w:vMerge w:val="continue"/>
                  <w:tcBorders>
                    <w:tl2br w:val="nil"/>
                    <w:tr2bl w:val="nil"/>
                  </w:tcBorders>
                  <w:vAlign w:val="center"/>
                </w:tcPr>
                <w:p w14:paraId="74B62A7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672" w:type="pct"/>
                  <w:vMerge w:val="continue"/>
                  <w:tcBorders>
                    <w:tl2br w:val="nil"/>
                    <w:tr2bl w:val="nil"/>
                  </w:tcBorders>
                  <w:vAlign w:val="center"/>
                </w:tcPr>
                <w:p w14:paraId="43EC39D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88" w:type="pct"/>
                  <w:tcBorders>
                    <w:tl2br w:val="nil"/>
                    <w:tr2bl w:val="nil"/>
                  </w:tcBorders>
                  <w:vAlign w:val="center"/>
                </w:tcPr>
                <w:p w14:paraId="343FF89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TP</w:t>
                  </w:r>
                </w:p>
              </w:tc>
              <w:tc>
                <w:tcPr>
                  <w:tcW w:w="959" w:type="pct"/>
                  <w:tcBorders>
                    <w:tl2br w:val="nil"/>
                    <w:tr2bl w:val="nil"/>
                  </w:tcBorders>
                  <w:vAlign w:val="center"/>
                </w:tcPr>
                <w:p w14:paraId="2CE9648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highlight w:val="none"/>
                      <w:lang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8</w:t>
                  </w:r>
                </w:p>
              </w:tc>
              <w:tc>
                <w:tcPr>
                  <w:tcW w:w="482" w:type="pct"/>
                  <w:tcBorders>
                    <w:tl2br w:val="nil"/>
                    <w:tr2bl w:val="nil"/>
                  </w:tcBorders>
                  <w:vAlign w:val="center"/>
                </w:tcPr>
                <w:p w14:paraId="60C7D1B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0.0323</w:t>
                  </w:r>
                </w:p>
              </w:tc>
              <w:tc>
                <w:tcPr>
                  <w:tcW w:w="1101" w:type="pct"/>
                  <w:vMerge w:val="continue"/>
                  <w:tcBorders>
                    <w:tl2br w:val="nil"/>
                    <w:tr2bl w:val="nil"/>
                  </w:tcBorders>
                  <w:vAlign w:val="center"/>
                </w:tcPr>
                <w:p w14:paraId="3E2E3DB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c>
                <w:tcPr>
                  <w:tcW w:w="414" w:type="pct"/>
                  <w:tcBorders>
                    <w:tl2br w:val="nil"/>
                    <w:tr2bl w:val="nil"/>
                  </w:tcBorders>
                  <w:vAlign w:val="center"/>
                </w:tcPr>
                <w:p w14:paraId="561E2CE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64%</w:t>
                  </w:r>
                </w:p>
              </w:tc>
              <w:tc>
                <w:tcPr>
                  <w:tcW w:w="462" w:type="pct"/>
                  <w:vMerge w:val="continue"/>
                  <w:tcBorders>
                    <w:tl2br w:val="nil"/>
                    <w:tr2bl w:val="nil"/>
                  </w:tcBorders>
                  <w:vAlign w:val="center"/>
                </w:tcPr>
                <w:p w14:paraId="72579F4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highlight w:val="none"/>
                      <w14:textFill>
                        <w14:solidFill>
                          <w14:schemeClr w14:val="tx1"/>
                        </w14:solidFill>
                      </w14:textFill>
                    </w:rPr>
                  </w:pPr>
                </w:p>
              </w:tc>
            </w:tr>
          </w:tbl>
          <w:p w14:paraId="414A022B">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rFonts w:ascii="Times New Roman" w:hAnsi="Times New Roman" w:eastAsia="宋体"/>
                <w:b/>
                <w:bCs/>
                <w:color w:val="000000" w:themeColor="text1"/>
                <w:szCs w:val="21"/>
                <w:highlight w:val="none"/>
                <w14:textFill>
                  <w14:solidFill>
                    <w14:schemeClr w14:val="tx1"/>
                  </w14:solidFill>
                </w14:textFill>
              </w:rPr>
            </w:pPr>
            <w:r>
              <w:rPr>
                <w:color w:val="000000" w:themeColor="text1"/>
                <w:sz w:val="24"/>
                <w:szCs w:val="24"/>
                <w:highlight w:val="none"/>
                <w14:textFill>
                  <w14:solidFill>
                    <w14:schemeClr w14:val="tx1"/>
                  </w14:solidFill>
                </w14:textFill>
              </w:rPr>
              <w:t>废水污染物排放情况见表4-</w:t>
            </w:r>
            <w:r>
              <w:rPr>
                <w:rFonts w:hint="eastAsia"/>
                <w:color w:val="000000" w:themeColor="text1"/>
                <w:sz w:val="24"/>
                <w:szCs w:val="24"/>
                <w:highlight w:val="none"/>
                <w:lang w:val="en-US" w:eastAsia="zh-CN"/>
                <w14:textFill>
                  <w14:solidFill>
                    <w14:schemeClr w14:val="tx1"/>
                  </w14:solidFill>
                </w14:textFill>
              </w:rPr>
              <w:t>10</w:t>
            </w:r>
            <w:r>
              <w:rPr>
                <w:color w:val="000000" w:themeColor="text1"/>
                <w:sz w:val="24"/>
                <w:szCs w:val="24"/>
                <w:highlight w:val="none"/>
                <w14:textFill>
                  <w14:solidFill>
                    <w14:schemeClr w14:val="tx1"/>
                  </w14:solidFill>
                </w14:textFill>
              </w:rPr>
              <w:t>。</w:t>
            </w:r>
          </w:p>
          <w:p w14:paraId="5AEC504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表4-</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10</w:t>
            </w:r>
            <w:r>
              <w:rPr>
                <w:rFonts w:ascii="Times New Roman" w:hAnsi="Times New Roman" w:eastAsia="宋体"/>
                <w:b/>
                <w:bCs/>
                <w:color w:val="000000" w:themeColor="text1"/>
                <w:szCs w:val="21"/>
                <w:highlight w:val="none"/>
                <w14:textFill>
                  <w14:solidFill>
                    <w14:schemeClr w14:val="tx1"/>
                  </w14:solidFill>
                </w14:textFill>
              </w:rPr>
              <w:t xml:space="preserve">    废水排放情况</w:t>
            </w:r>
          </w:p>
          <w:tbl>
            <w:tblPr>
              <w:tblStyle w:val="20"/>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950"/>
              <w:gridCol w:w="582"/>
              <w:gridCol w:w="900"/>
              <w:gridCol w:w="1077"/>
              <w:gridCol w:w="1273"/>
              <w:gridCol w:w="619"/>
              <w:gridCol w:w="1002"/>
              <w:gridCol w:w="665"/>
              <w:gridCol w:w="868"/>
            </w:tblGrid>
            <w:tr w14:paraId="299260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tcBorders>
                    <w:tl2br w:val="nil"/>
                    <w:tr2bl w:val="nil"/>
                  </w:tcBorders>
                  <w:vAlign w:val="center"/>
                </w:tcPr>
                <w:p w14:paraId="55EA9BE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废水量</w:t>
                  </w:r>
                </w:p>
              </w:tc>
              <w:tc>
                <w:tcPr>
                  <w:tcW w:w="366" w:type="pct"/>
                  <w:tcBorders>
                    <w:tl2br w:val="nil"/>
                    <w:tr2bl w:val="nil"/>
                  </w:tcBorders>
                  <w:vAlign w:val="center"/>
                </w:tcPr>
                <w:p w14:paraId="7627373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类别</w:t>
                  </w:r>
                </w:p>
              </w:tc>
              <w:tc>
                <w:tcPr>
                  <w:tcW w:w="567" w:type="pct"/>
                  <w:tcBorders>
                    <w:tl2br w:val="nil"/>
                    <w:tr2bl w:val="nil"/>
                  </w:tcBorders>
                  <w:vAlign w:val="center"/>
                </w:tcPr>
                <w:p w14:paraId="740ECD1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污染物</w:t>
                  </w:r>
                </w:p>
                <w:p w14:paraId="20A6012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种类</w:t>
                  </w:r>
                </w:p>
              </w:tc>
              <w:tc>
                <w:tcPr>
                  <w:tcW w:w="678" w:type="pct"/>
                  <w:tcBorders>
                    <w:tl2br w:val="nil"/>
                    <w:tr2bl w:val="nil"/>
                  </w:tcBorders>
                  <w:vAlign w:val="center"/>
                </w:tcPr>
                <w:p w14:paraId="35DABE0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排放浓度（mg/L）</w:t>
                  </w:r>
                </w:p>
              </w:tc>
              <w:tc>
                <w:tcPr>
                  <w:tcW w:w="802" w:type="pct"/>
                  <w:tcBorders>
                    <w:tl2br w:val="nil"/>
                    <w:tr2bl w:val="nil"/>
                  </w:tcBorders>
                  <w:vAlign w:val="center"/>
                </w:tcPr>
                <w:p w14:paraId="2C53762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污染物排放量（t/a）</w:t>
                  </w:r>
                </w:p>
              </w:tc>
              <w:tc>
                <w:tcPr>
                  <w:tcW w:w="389" w:type="pct"/>
                  <w:tcBorders>
                    <w:tl2br w:val="nil"/>
                    <w:tr2bl w:val="nil"/>
                  </w:tcBorders>
                  <w:vAlign w:val="center"/>
                </w:tcPr>
                <w:p w14:paraId="1AAC55A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排放方式</w:t>
                  </w:r>
                </w:p>
              </w:tc>
              <w:tc>
                <w:tcPr>
                  <w:tcW w:w="631" w:type="pct"/>
                  <w:tcBorders>
                    <w:tl2br w:val="nil"/>
                    <w:tr2bl w:val="nil"/>
                  </w:tcBorders>
                  <w:vAlign w:val="center"/>
                </w:tcPr>
                <w:p w14:paraId="18B9C4F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排放去向</w:t>
                  </w:r>
                </w:p>
              </w:tc>
              <w:tc>
                <w:tcPr>
                  <w:tcW w:w="418" w:type="pct"/>
                  <w:tcBorders>
                    <w:tl2br w:val="nil"/>
                    <w:tr2bl w:val="nil"/>
                  </w:tcBorders>
                  <w:vAlign w:val="center"/>
                </w:tcPr>
                <w:p w14:paraId="1D34DA9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w:t>
                  </w:r>
                </w:p>
                <w:p w14:paraId="10521D4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规律</w:t>
                  </w:r>
                </w:p>
              </w:tc>
              <w:tc>
                <w:tcPr>
                  <w:tcW w:w="546" w:type="pct"/>
                  <w:tcBorders>
                    <w:tl2br w:val="nil"/>
                    <w:tr2bl w:val="nil"/>
                  </w:tcBorders>
                  <w:vAlign w:val="center"/>
                </w:tcPr>
                <w:p w14:paraId="35ED56C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排放标准</w:t>
                  </w:r>
                </w:p>
              </w:tc>
            </w:tr>
            <w:tr w14:paraId="2AACA1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vMerge w:val="restart"/>
                  <w:tcBorders>
                    <w:tl2br w:val="nil"/>
                    <w:tr2bl w:val="nil"/>
                  </w:tcBorders>
                  <w:vAlign w:val="center"/>
                </w:tcPr>
                <w:p w14:paraId="4D02D8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11.52</w:t>
                  </w:r>
                  <w:r>
                    <w:rPr>
                      <w:rFonts w:hint="eastAsia" w:ascii="Times New Roman" w:hAnsi="Times New Roman" w:eastAsia="宋体"/>
                      <w:color w:val="000000" w:themeColor="text1"/>
                      <w:szCs w:val="21"/>
                      <w:highlight w:val="none"/>
                      <w14:textFill>
                        <w14:solidFill>
                          <w14:schemeClr w14:val="tx1"/>
                        </w14:solidFill>
                      </w14:textFill>
                    </w:rPr>
                    <w:t>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/d</w:t>
                  </w:r>
                </w:p>
                <w:p w14:paraId="37478C6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4032</w:t>
                  </w:r>
                  <w:r>
                    <w:rPr>
                      <w:rFonts w:hint="eastAsia" w:ascii="Times New Roman" w:hAnsi="Times New Roman" w:eastAsia="宋体"/>
                      <w:color w:val="000000" w:themeColor="text1"/>
                      <w:szCs w:val="21"/>
                      <w:highlight w:val="none"/>
                      <w14:textFill>
                        <w14:solidFill>
                          <w14:schemeClr w14:val="tx1"/>
                        </w14:solidFill>
                      </w14:textFill>
                    </w:rPr>
                    <w:t>m</w:t>
                  </w:r>
                  <w:r>
                    <w:rPr>
                      <w:rFonts w:hint="eastAsia" w:ascii="Times New Roman" w:hAnsi="Times New Roman" w:eastAsia="宋体"/>
                      <w:color w:val="000000" w:themeColor="text1"/>
                      <w:szCs w:val="21"/>
                      <w:highlight w:val="none"/>
                      <w:vertAlign w:val="superscript"/>
                      <w14:textFill>
                        <w14:solidFill>
                          <w14:schemeClr w14:val="tx1"/>
                        </w14:solidFill>
                      </w14:textFill>
                    </w:rPr>
                    <w:t>3</w:t>
                  </w:r>
                  <w:r>
                    <w:rPr>
                      <w:rFonts w:hint="eastAsia" w:ascii="Times New Roman" w:hAnsi="Times New Roman" w:eastAsia="宋体"/>
                      <w:color w:val="000000" w:themeColor="text1"/>
                      <w:szCs w:val="21"/>
                      <w:highlight w:val="none"/>
                      <w14:textFill>
                        <w14:solidFill>
                          <w14:schemeClr w14:val="tx1"/>
                        </w14:solidFill>
                      </w14:textFill>
                    </w:rPr>
                    <w:t>/a</w:t>
                  </w:r>
                </w:p>
              </w:tc>
              <w:tc>
                <w:tcPr>
                  <w:tcW w:w="366" w:type="pct"/>
                  <w:vMerge w:val="restart"/>
                  <w:tcBorders>
                    <w:tl2br w:val="nil"/>
                    <w:tr2bl w:val="nil"/>
                  </w:tcBorders>
                  <w:vAlign w:val="center"/>
                </w:tcPr>
                <w:p w14:paraId="2C76F58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w:t>
                  </w:r>
                </w:p>
                <w:p w14:paraId="7BFDE60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污水</w:t>
                  </w:r>
                </w:p>
              </w:tc>
              <w:tc>
                <w:tcPr>
                  <w:tcW w:w="567" w:type="pct"/>
                  <w:tcBorders>
                    <w:tl2br w:val="nil"/>
                    <w:tr2bl w:val="nil"/>
                  </w:tcBorders>
                  <w:vAlign w:val="center"/>
                </w:tcPr>
                <w:p w14:paraId="5959067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pH</w:t>
                  </w:r>
                </w:p>
              </w:tc>
              <w:tc>
                <w:tcPr>
                  <w:tcW w:w="678" w:type="pct"/>
                  <w:tcBorders>
                    <w:tl2br w:val="nil"/>
                    <w:tr2bl w:val="nil"/>
                  </w:tcBorders>
                  <w:vAlign w:val="center"/>
                </w:tcPr>
                <w:p w14:paraId="10724A7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6~9</w:t>
                  </w:r>
                </w:p>
              </w:tc>
              <w:tc>
                <w:tcPr>
                  <w:tcW w:w="802" w:type="pct"/>
                  <w:tcBorders>
                    <w:tl2br w:val="nil"/>
                    <w:tr2bl w:val="nil"/>
                  </w:tcBorders>
                  <w:vAlign w:val="center"/>
                </w:tcPr>
                <w:p w14:paraId="47E5EFE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w:t>
                  </w:r>
                </w:p>
              </w:tc>
              <w:tc>
                <w:tcPr>
                  <w:tcW w:w="389" w:type="pct"/>
                  <w:vMerge w:val="restart"/>
                  <w:tcBorders>
                    <w:tl2br w:val="nil"/>
                    <w:tr2bl w:val="nil"/>
                  </w:tcBorders>
                  <w:vAlign w:val="center"/>
                </w:tcPr>
                <w:p w14:paraId="358A9B6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间接排放</w:t>
                  </w:r>
                </w:p>
              </w:tc>
              <w:tc>
                <w:tcPr>
                  <w:tcW w:w="631" w:type="pct"/>
                  <w:vMerge w:val="restart"/>
                  <w:tcBorders>
                    <w:tl2br w:val="nil"/>
                    <w:tr2bl w:val="nil"/>
                  </w:tcBorders>
                  <w:vAlign w:val="center"/>
                </w:tcPr>
                <w:p w14:paraId="448D25C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排放至宝梵污水处理厂</w:t>
                  </w:r>
                </w:p>
              </w:tc>
              <w:tc>
                <w:tcPr>
                  <w:tcW w:w="418" w:type="pct"/>
                  <w:vMerge w:val="restart"/>
                  <w:tcBorders>
                    <w:tl2br w:val="nil"/>
                    <w:tr2bl w:val="nil"/>
                  </w:tcBorders>
                  <w:vAlign w:val="center"/>
                </w:tcPr>
                <w:p w14:paraId="5A26AEA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间接</w:t>
                  </w:r>
                </w:p>
                <w:p w14:paraId="6D74F1F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排放</w:t>
                  </w:r>
                </w:p>
              </w:tc>
              <w:tc>
                <w:tcPr>
                  <w:tcW w:w="546" w:type="pct"/>
                  <w:vMerge w:val="restart"/>
                  <w:tcBorders>
                    <w:tl2br w:val="nil"/>
                    <w:tr2bl w:val="nil"/>
                  </w:tcBorders>
                  <w:vAlign w:val="center"/>
                </w:tcPr>
                <w:p w14:paraId="55E77E4D">
                  <w:pPr>
                    <w:keepNext w:val="0"/>
                    <w:keepLines w:val="0"/>
                    <w:pageBreakBefore w:val="0"/>
                    <w:widowControl w:val="0"/>
                    <w:kinsoku/>
                    <w:wordWrap w:val="0"/>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《污水综合排放标准》（</w:t>
                  </w:r>
                  <w:r>
                    <w:rPr>
                      <w:rFonts w:hint="eastAsia" w:ascii="Times New Roman" w:hAnsi="Times New Roman" w:eastAsia="宋体"/>
                      <w:color w:val="000000" w:themeColor="text1"/>
                      <w:szCs w:val="21"/>
                      <w:highlight w:val="none"/>
                      <w:lang w:val="en-US" w:eastAsia="zh-CN"/>
                      <w14:textFill>
                        <w14:solidFill>
                          <w14:schemeClr w14:val="tx1"/>
                        </w14:solidFill>
                      </w14:textFill>
                    </w:rPr>
                    <w:t>GB8978-1996</w:t>
                  </w:r>
                  <w:r>
                    <w:rPr>
                      <w:rFonts w:hint="eastAsia" w:ascii="Times New Roman" w:hAnsi="Times New Roman" w:eastAsia="宋体"/>
                      <w:color w:val="000000" w:themeColor="text1"/>
                      <w:szCs w:val="21"/>
                      <w:highlight w:val="none"/>
                      <w:lang w:eastAsia="zh-CN"/>
                      <w14:textFill>
                        <w14:solidFill>
                          <w14:schemeClr w14:val="tx1"/>
                        </w14:solidFill>
                      </w14:textFill>
                    </w:rPr>
                    <w:t>）三级标准</w:t>
                  </w:r>
                </w:p>
              </w:tc>
            </w:tr>
            <w:tr w14:paraId="76C235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vMerge w:val="continue"/>
                  <w:tcBorders>
                    <w:tl2br w:val="nil"/>
                    <w:tr2bl w:val="nil"/>
                  </w:tcBorders>
                  <w:vAlign w:val="center"/>
                </w:tcPr>
                <w:p w14:paraId="33A4046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366" w:type="pct"/>
                  <w:vMerge w:val="continue"/>
                  <w:tcBorders>
                    <w:tl2br w:val="nil"/>
                    <w:tr2bl w:val="nil"/>
                  </w:tcBorders>
                  <w:vAlign w:val="center"/>
                </w:tcPr>
                <w:p w14:paraId="4040943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2E0219C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COD</w:t>
                  </w:r>
                </w:p>
              </w:tc>
              <w:tc>
                <w:tcPr>
                  <w:tcW w:w="678" w:type="pct"/>
                  <w:tcBorders>
                    <w:tl2br w:val="nil"/>
                    <w:tr2bl w:val="nil"/>
                  </w:tcBorders>
                  <w:vAlign w:val="center"/>
                </w:tcPr>
                <w:p w14:paraId="09BC5CD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500</w:t>
                  </w:r>
                </w:p>
              </w:tc>
              <w:tc>
                <w:tcPr>
                  <w:tcW w:w="802" w:type="pct"/>
                  <w:tcBorders>
                    <w:tl2br w:val="nil"/>
                    <w:tr2bl w:val="nil"/>
                  </w:tcBorders>
                  <w:vAlign w:val="center"/>
                </w:tcPr>
                <w:p w14:paraId="1F01741A">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2.016</w:t>
                  </w:r>
                </w:p>
              </w:tc>
              <w:tc>
                <w:tcPr>
                  <w:tcW w:w="389" w:type="pct"/>
                  <w:vMerge w:val="continue"/>
                  <w:tcBorders>
                    <w:tl2br w:val="nil"/>
                    <w:tr2bl w:val="nil"/>
                  </w:tcBorders>
                  <w:vAlign w:val="center"/>
                </w:tcPr>
                <w:p w14:paraId="1A55CE0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649D3A2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67D9D49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2EEE418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1914E9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vMerge w:val="continue"/>
                  <w:tcBorders>
                    <w:tl2br w:val="nil"/>
                    <w:tr2bl w:val="nil"/>
                  </w:tcBorders>
                  <w:vAlign w:val="center"/>
                </w:tcPr>
                <w:p w14:paraId="56462F52">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366" w:type="pct"/>
                  <w:vMerge w:val="continue"/>
                  <w:tcBorders>
                    <w:tl2br w:val="nil"/>
                    <w:tr2bl w:val="nil"/>
                  </w:tcBorders>
                  <w:vAlign w:val="center"/>
                </w:tcPr>
                <w:p w14:paraId="77B8966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2A29D57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BOD</w:t>
                  </w:r>
                  <w:r>
                    <w:rPr>
                      <w:rFonts w:ascii="Times New Roman" w:hAnsi="Times New Roman" w:eastAsia="宋体"/>
                      <w:color w:val="000000" w:themeColor="text1"/>
                      <w:szCs w:val="21"/>
                      <w:highlight w:val="none"/>
                      <w:vertAlign w:val="subscript"/>
                      <w14:textFill>
                        <w14:solidFill>
                          <w14:schemeClr w14:val="tx1"/>
                        </w14:solidFill>
                      </w14:textFill>
                    </w:rPr>
                    <w:t>5</w:t>
                  </w:r>
                </w:p>
              </w:tc>
              <w:tc>
                <w:tcPr>
                  <w:tcW w:w="678" w:type="pct"/>
                  <w:tcBorders>
                    <w:tl2br w:val="nil"/>
                    <w:tr2bl w:val="nil"/>
                  </w:tcBorders>
                  <w:vAlign w:val="center"/>
                </w:tcPr>
                <w:p w14:paraId="224069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300</w:t>
                  </w:r>
                </w:p>
              </w:tc>
              <w:tc>
                <w:tcPr>
                  <w:tcW w:w="802" w:type="pct"/>
                  <w:tcBorders>
                    <w:tl2br w:val="nil"/>
                    <w:tr2bl w:val="nil"/>
                  </w:tcBorders>
                  <w:vAlign w:val="center"/>
                </w:tcPr>
                <w:p w14:paraId="4500419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1.2096</w:t>
                  </w:r>
                </w:p>
              </w:tc>
              <w:tc>
                <w:tcPr>
                  <w:tcW w:w="389" w:type="pct"/>
                  <w:vMerge w:val="continue"/>
                  <w:tcBorders>
                    <w:tl2br w:val="nil"/>
                    <w:tr2bl w:val="nil"/>
                  </w:tcBorders>
                  <w:vAlign w:val="center"/>
                </w:tcPr>
                <w:p w14:paraId="1255C3D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7C8EE55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77BF770B">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079542B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3C9FEC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vMerge w:val="continue"/>
                  <w:tcBorders>
                    <w:tl2br w:val="nil"/>
                    <w:tr2bl w:val="nil"/>
                  </w:tcBorders>
                  <w:vAlign w:val="center"/>
                </w:tcPr>
                <w:p w14:paraId="0597CCB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366" w:type="pct"/>
                  <w:vMerge w:val="continue"/>
                  <w:tcBorders>
                    <w:tl2br w:val="nil"/>
                    <w:tr2bl w:val="nil"/>
                  </w:tcBorders>
                  <w:vAlign w:val="center"/>
                </w:tcPr>
                <w:p w14:paraId="4983612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24A0311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SS</w:t>
                  </w:r>
                </w:p>
              </w:tc>
              <w:tc>
                <w:tcPr>
                  <w:tcW w:w="678" w:type="pct"/>
                  <w:tcBorders>
                    <w:tl2br w:val="nil"/>
                    <w:tr2bl w:val="nil"/>
                  </w:tcBorders>
                  <w:vAlign w:val="center"/>
                </w:tcPr>
                <w:p w14:paraId="67AD0A4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400</w:t>
                  </w:r>
                </w:p>
              </w:tc>
              <w:tc>
                <w:tcPr>
                  <w:tcW w:w="802" w:type="pct"/>
                  <w:tcBorders>
                    <w:tl2br w:val="nil"/>
                    <w:tr2bl w:val="nil"/>
                  </w:tcBorders>
                  <w:vAlign w:val="center"/>
                </w:tcPr>
                <w:p w14:paraId="61C85B13">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1.6128</w:t>
                  </w:r>
                </w:p>
              </w:tc>
              <w:tc>
                <w:tcPr>
                  <w:tcW w:w="389" w:type="pct"/>
                  <w:vMerge w:val="continue"/>
                  <w:tcBorders>
                    <w:tl2br w:val="nil"/>
                    <w:tr2bl w:val="nil"/>
                  </w:tcBorders>
                  <w:vAlign w:val="center"/>
                </w:tcPr>
                <w:p w14:paraId="23A4659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251B4E5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42869259">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7BE4C11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49DBDA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vMerge w:val="continue"/>
                  <w:tcBorders>
                    <w:tl2br w:val="nil"/>
                    <w:tr2bl w:val="nil"/>
                  </w:tcBorders>
                  <w:vAlign w:val="center"/>
                </w:tcPr>
                <w:p w14:paraId="0088B81D">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366" w:type="pct"/>
                  <w:vMerge w:val="continue"/>
                  <w:tcBorders>
                    <w:tl2br w:val="nil"/>
                    <w:tr2bl w:val="nil"/>
                  </w:tcBorders>
                  <w:vAlign w:val="center"/>
                </w:tcPr>
                <w:p w14:paraId="68CFBB64">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67FA3A5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氨氮</w:t>
                  </w:r>
                </w:p>
              </w:tc>
              <w:tc>
                <w:tcPr>
                  <w:tcW w:w="678" w:type="pct"/>
                  <w:tcBorders>
                    <w:tl2br w:val="nil"/>
                    <w:tr2bl w:val="nil"/>
                  </w:tcBorders>
                  <w:vAlign w:val="center"/>
                </w:tcPr>
                <w:p w14:paraId="32B4827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highlight w:val="none"/>
                      <w14:textFill>
                        <w14:solidFill>
                          <w14:schemeClr w14:val="tx1"/>
                        </w14:solidFill>
                      </w14:textFill>
                    </w:rPr>
                    <w:t>45</w:t>
                  </w:r>
                </w:p>
              </w:tc>
              <w:tc>
                <w:tcPr>
                  <w:tcW w:w="1273" w:type="dxa"/>
                  <w:tcBorders>
                    <w:tl2br w:val="nil"/>
                    <w:tr2bl w:val="nil"/>
                  </w:tcBorders>
                  <w:vAlign w:val="center"/>
                </w:tcPr>
                <w:p w14:paraId="398A32A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2"/>
                      <w:highlight w:val="none"/>
                      <w:lang w:val="en-US" w:eastAsia="zh-CN" w:bidi="ar-SA"/>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0.1814</w:t>
                  </w:r>
                </w:p>
              </w:tc>
              <w:tc>
                <w:tcPr>
                  <w:tcW w:w="389" w:type="pct"/>
                  <w:vMerge w:val="continue"/>
                  <w:tcBorders>
                    <w:tl2br w:val="nil"/>
                    <w:tr2bl w:val="nil"/>
                  </w:tcBorders>
                  <w:vAlign w:val="center"/>
                </w:tcPr>
                <w:p w14:paraId="67ACA2E7">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1F59ABFE">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41932AD1">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7279D1DF">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r w14:paraId="2CD5C4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598" w:type="pct"/>
                  <w:vMerge w:val="continue"/>
                  <w:tcBorders>
                    <w:tl2br w:val="nil"/>
                    <w:tr2bl w:val="nil"/>
                  </w:tcBorders>
                  <w:vAlign w:val="center"/>
                </w:tcPr>
                <w:p w14:paraId="4E6C2790">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366" w:type="pct"/>
                  <w:vMerge w:val="continue"/>
                  <w:tcBorders>
                    <w:tl2br w:val="nil"/>
                    <w:tr2bl w:val="nil"/>
                  </w:tcBorders>
                  <w:vAlign w:val="center"/>
                </w:tcPr>
                <w:p w14:paraId="6419C90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67" w:type="pct"/>
                  <w:tcBorders>
                    <w:tl2br w:val="nil"/>
                    <w:tr2bl w:val="nil"/>
                  </w:tcBorders>
                  <w:vAlign w:val="center"/>
                </w:tcPr>
                <w:p w14:paraId="75B787D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TP</w:t>
                  </w:r>
                </w:p>
              </w:tc>
              <w:tc>
                <w:tcPr>
                  <w:tcW w:w="678" w:type="pct"/>
                  <w:tcBorders>
                    <w:tl2br w:val="nil"/>
                    <w:tr2bl w:val="nil"/>
                  </w:tcBorders>
                  <w:vAlign w:val="center"/>
                </w:tcPr>
                <w:p w14:paraId="6DA3547C">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8</w:t>
                  </w:r>
                </w:p>
              </w:tc>
              <w:tc>
                <w:tcPr>
                  <w:tcW w:w="1273" w:type="dxa"/>
                  <w:tcBorders>
                    <w:tl2br w:val="nil"/>
                    <w:tr2bl w:val="nil"/>
                  </w:tcBorders>
                  <w:vAlign w:val="center"/>
                </w:tcPr>
                <w:p w14:paraId="26FDBAD6">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2"/>
                      <w:highlight w:val="none"/>
                      <w:lang w:val="en-US" w:eastAsia="zh-CN" w:bidi="ar-SA"/>
                      <w14:textFill>
                        <w14:solidFill>
                          <w14:schemeClr w14:val="tx1"/>
                        </w14:solidFill>
                      </w14:textFill>
                    </w:rPr>
                  </w:pPr>
                  <w:r>
                    <w:rPr>
                      <w:rFonts w:hint="eastAsia" w:ascii="Times New Roman" w:hAnsi="Times New Roman" w:eastAsia="宋体"/>
                      <w:color w:val="000000" w:themeColor="text1"/>
                      <w:highlight w:val="none"/>
                      <w:lang w:val="en-US" w:eastAsia="zh-CN"/>
                      <w14:textFill>
                        <w14:solidFill>
                          <w14:schemeClr w14:val="tx1"/>
                        </w14:solidFill>
                      </w14:textFill>
                    </w:rPr>
                    <w:t>0.0323</w:t>
                  </w:r>
                </w:p>
              </w:tc>
              <w:tc>
                <w:tcPr>
                  <w:tcW w:w="389" w:type="pct"/>
                  <w:vMerge w:val="continue"/>
                  <w:tcBorders>
                    <w:tl2br w:val="nil"/>
                    <w:tr2bl w:val="nil"/>
                  </w:tcBorders>
                  <w:vAlign w:val="center"/>
                </w:tcPr>
                <w:p w14:paraId="5B0812C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vAlign w:val="center"/>
                </w:tcPr>
                <w:p w14:paraId="679E75C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418" w:type="pct"/>
                  <w:vMerge w:val="continue"/>
                  <w:tcBorders>
                    <w:tl2br w:val="nil"/>
                    <w:tr2bl w:val="nil"/>
                  </w:tcBorders>
                  <w:vAlign w:val="center"/>
                </w:tcPr>
                <w:p w14:paraId="3B2A0CF8">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546" w:type="pct"/>
                  <w:vMerge w:val="continue"/>
                  <w:tcBorders>
                    <w:tl2br w:val="nil"/>
                    <w:tr2bl w:val="nil"/>
                  </w:tcBorders>
                  <w:vAlign w:val="center"/>
                </w:tcPr>
                <w:p w14:paraId="47D95335">
                  <w:pPr>
                    <w:keepNext w:val="0"/>
                    <w:keepLines w:val="0"/>
                    <w:pageBreakBefore w:val="0"/>
                    <w:widowControl w:val="0"/>
                    <w:kinsoku/>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r>
          </w:tbl>
          <w:p w14:paraId="259954DC">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rFonts w:hint="eastAsia" w:eastAsia="宋体"/>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6、</w:t>
            </w:r>
            <w:r>
              <w:rPr>
                <w:rFonts w:hint="eastAsia" w:ascii="Times New Roman" w:hAnsi="Times New Roman" w:cs="Times New Roman"/>
                <w:b/>
                <w:color w:val="000000" w:themeColor="text1"/>
                <w:sz w:val="24"/>
                <w:highlight w:val="none"/>
                <w:lang w:eastAsia="zh-CN"/>
                <w14:textFill>
                  <w14:solidFill>
                    <w14:schemeClr w14:val="tx1"/>
                  </w14:solidFill>
                </w14:textFill>
              </w:rPr>
              <w:t>监测计划</w:t>
            </w:r>
          </w:p>
          <w:p w14:paraId="3BEFB6E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b/>
                <w:bCs/>
                <w:color w:val="000000" w:themeColor="text1"/>
                <w:sz w:val="24"/>
                <w:szCs w:val="24"/>
                <w:highlight w:val="none"/>
                <w14:textFill>
                  <w14:solidFill>
                    <w14:schemeClr w14:val="tx1"/>
                  </w14:solidFill>
                </w14:textFill>
              </w:rPr>
            </w:pPr>
            <w:r>
              <w:rPr>
                <w:rFonts w:hint="default" w:ascii="Times New Roman" w:hAnsi="Times New Roman" w:cs="Times New Roman"/>
                <w:bCs/>
                <w:color w:val="000000" w:themeColor="text1"/>
                <w:sz w:val="24"/>
                <w:highlight w:val="none"/>
                <w:lang w:eastAsia="zh-CN"/>
                <w14:textFill>
                  <w14:solidFill>
                    <w14:schemeClr w14:val="tx1"/>
                  </w14:solidFill>
                </w14:textFill>
              </w:rPr>
              <w:t>本项目不设置</w:t>
            </w:r>
            <w:r>
              <w:rPr>
                <w:rFonts w:hint="eastAsia" w:ascii="Times New Roman" w:hAnsi="Times New Roman" w:cs="Times New Roman"/>
                <w:bCs/>
                <w:color w:val="000000" w:themeColor="text1"/>
                <w:sz w:val="24"/>
                <w:highlight w:val="none"/>
                <w:lang w:eastAsia="zh-CN"/>
                <w14:textFill>
                  <w14:solidFill>
                    <w14:schemeClr w14:val="tx1"/>
                  </w14:solidFill>
                </w14:textFill>
              </w:rPr>
              <w:t>废水监测计划</w:t>
            </w:r>
            <w:r>
              <w:rPr>
                <w:rFonts w:hint="default" w:ascii="Times New Roman" w:hAnsi="Times New Roman" w:cs="Times New Roman"/>
                <w:bCs/>
                <w:color w:val="000000" w:themeColor="text1"/>
                <w:sz w:val="24"/>
                <w:highlight w:val="none"/>
                <w:lang w:eastAsia="zh-CN"/>
                <w14:textFill>
                  <w14:solidFill>
                    <w14:schemeClr w14:val="tx1"/>
                  </w14:solidFill>
                </w14:textFill>
              </w:rPr>
              <w:t>。</w:t>
            </w:r>
          </w:p>
          <w:p w14:paraId="6240B75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三、噪声排放及治理措施</w:t>
            </w:r>
          </w:p>
          <w:p w14:paraId="4A8C5B5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1、噪声源</w:t>
            </w:r>
          </w:p>
          <w:p w14:paraId="26BDEDD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本项目噪声源主要为搅拌机、物料传送的皮带机、装载机、运输车辆等。噪声污染源强为70~95dB（A）之间。根据类别调查，项目主要设备噪声源强见下表。</w:t>
            </w:r>
          </w:p>
          <w:p w14:paraId="62D43EFD">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表</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4-11    </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主要声源设备一览表</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37"/>
              <w:gridCol w:w="2006"/>
              <w:gridCol w:w="1427"/>
              <w:gridCol w:w="561"/>
              <w:gridCol w:w="1987"/>
              <w:gridCol w:w="1421"/>
            </w:tblGrid>
            <w:tr w14:paraId="674825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19C73FE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263" w:type="pct"/>
                  <w:tcBorders>
                    <w:tl2br w:val="nil"/>
                    <w:tr2bl w:val="nil"/>
                  </w:tcBorders>
                  <w:vAlign w:val="center"/>
                </w:tcPr>
                <w:p w14:paraId="69F8ED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设备名称</w:t>
                  </w:r>
                </w:p>
              </w:tc>
              <w:tc>
                <w:tcPr>
                  <w:tcW w:w="898" w:type="pct"/>
                  <w:tcBorders>
                    <w:tl2br w:val="nil"/>
                    <w:tr2bl w:val="nil"/>
                  </w:tcBorders>
                  <w:vAlign w:val="center"/>
                </w:tcPr>
                <w:p w14:paraId="105061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噪声值</w:t>
                  </w:r>
                </w:p>
              </w:tc>
              <w:tc>
                <w:tcPr>
                  <w:tcW w:w="353" w:type="pct"/>
                  <w:tcBorders>
                    <w:tl2br w:val="nil"/>
                    <w:tr2bl w:val="nil"/>
                  </w:tcBorders>
                  <w:vAlign w:val="center"/>
                </w:tcPr>
                <w:p w14:paraId="18FE06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251" w:type="pct"/>
                  <w:tcBorders>
                    <w:tl2br w:val="nil"/>
                    <w:tr2bl w:val="nil"/>
                  </w:tcBorders>
                  <w:vAlign w:val="center"/>
                </w:tcPr>
                <w:p w14:paraId="5F966F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设备名称</w:t>
                  </w:r>
                </w:p>
              </w:tc>
              <w:tc>
                <w:tcPr>
                  <w:tcW w:w="894" w:type="pct"/>
                  <w:tcBorders>
                    <w:tl2br w:val="nil"/>
                    <w:tr2bl w:val="nil"/>
                  </w:tcBorders>
                  <w:vAlign w:val="center"/>
                </w:tcPr>
                <w:p w14:paraId="65ABAF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噪声值</w:t>
                  </w:r>
                </w:p>
              </w:tc>
            </w:tr>
            <w:tr w14:paraId="023F9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2500" w:type="pct"/>
                  <w:gridSpan w:val="3"/>
                  <w:tcBorders>
                    <w:tl2br w:val="nil"/>
                    <w:tr2bl w:val="nil"/>
                  </w:tcBorders>
                  <w:vAlign w:val="center"/>
                </w:tcPr>
                <w:p w14:paraId="5031F2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碎石加工区</w:t>
                  </w:r>
                </w:p>
              </w:tc>
              <w:tc>
                <w:tcPr>
                  <w:tcW w:w="2499" w:type="pct"/>
                  <w:gridSpan w:val="3"/>
                  <w:tcBorders>
                    <w:tl2br w:val="nil"/>
                    <w:tr2bl w:val="nil"/>
                  </w:tcBorders>
                  <w:vAlign w:val="center"/>
                </w:tcPr>
                <w:p w14:paraId="7BC29C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水稳站</w:t>
                  </w:r>
                </w:p>
              </w:tc>
            </w:tr>
            <w:tr w14:paraId="53F929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5E20F25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1</w:t>
                  </w:r>
                </w:p>
              </w:tc>
              <w:tc>
                <w:tcPr>
                  <w:tcW w:w="1263" w:type="pct"/>
                  <w:tcBorders>
                    <w:tl2br w:val="nil"/>
                    <w:tr2bl w:val="nil"/>
                  </w:tcBorders>
                  <w:vAlign w:val="center"/>
                </w:tcPr>
                <w:p w14:paraId="1ADEF567">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颚式破碎机</w:t>
                  </w:r>
                </w:p>
              </w:tc>
              <w:tc>
                <w:tcPr>
                  <w:tcW w:w="898" w:type="pct"/>
                  <w:tcBorders>
                    <w:tl2br w:val="nil"/>
                    <w:tr2bl w:val="nil"/>
                  </w:tcBorders>
                  <w:vAlign w:val="center"/>
                </w:tcPr>
                <w:p w14:paraId="002812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37308E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p>
              </w:tc>
              <w:tc>
                <w:tcPr>
                  <w:tcW w:w="1251" w:type="pct"/>
                  <w:tcBorders>
                    <w:tl2br w:val="nil"/>
                    <w:tr2bl w:val="nil"/>
                  </w:tcBorders>
                  <w:vAlign w:val="center"/>
                </w:tcPr>
                <w:p w14:paraId="152CFA7E">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拌和楼</w:t>
                  </w:r>
                </w:p>
              </w:tc>
              <w:tc>
                <w:tcPr>
                  <w:tcW w:w="894" w:type="pct"/>
                  <w:tcBorders>
                    <w:tl2br w:val="nil"/>
                    <w:tr2bl w:val="nil"/>
                  </w:tcBorders>
                  <w:vAlign w:val="center"/>
                </w:tcPr>
                <w:p w14:paraId="77512C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7335AD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111C44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2</w:t>
                  </w:r>
                </w:p>
              </w:tc>
              <w:tc>
                <w:tcPr>
                  <w:tcW w:w="1263" w:type="pct"/>
                  <w:tcBorders>
                    <w:tl2br w:val="nil"/>
                    <w:tr2bl w:val="nil"/>
                  </w:tcBorders>
                  <w:vAlign w:val="center"/>
                </w:tcPr>
                <w:p w14:paraId="162E8D26">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反击</w:t>
                  </w:r>
                  <w:r>
                    <w:rPr>
                      <w:rFonts w:ascii="Times New Roman" w:hAnsi="Times New Roman" w:eastAsia="宋体"/>
                      <w:color w:val="000000" w:themeColor="text1"/>
                      <w:szCs w:val="21"/>
                      <w:highlight w:val="none"/>
                      <w14:textFill>
                        <w14:solidFill>
                          <w14:schemeClr w14:val="tx1"/>
                        </w14:solidFill>
                      </w14:textFill>
                    </w:rPr>
                    <w:t>破碎机</w:t>
                  </w:r>
                </w:p>
              </w:tc>
              <w:tc>
                <w:tcPr>
                  <w:tcW w:w="898" w:type="pct"/>
                  <w:tcBorders>
                    <w:tl2br w:val="nil"/>
                    <w:tr2bl w:val="nil"/>
                  </w:tcBorders>
                  <w:vAlign w:val="center"/>
                </w:tcPr>
                <w:p w14:paraId="550646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2769D4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w:t>
                  </w:r>
                </w:p>
              </w:tc>
              <w:tc>
                <w:tcPr>
                  <w:tcW w:w="1251" w:type="pct"/>
                  <w:tcBorders>
                    <w:tl2br w:val="nil"/>
                    <w:tr2bl w:val="nil"/>
                  </w:tcBorders>
                  <w:vAlign w:val="center"/>
                </w:tcPr>
                <w:p w14:paraId="5C9E04E2">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894" w:type="pct"/>
                  <w:tcBorders>
                    <w:tl2br w:val="nil"/>
                    <w:tr2bl w:val="nil"/>
                  </w:tcBorders>
                  <w:vAlign w:val="center"/>
                </w:tcPr>
                <w:p w14:paraId="1974D2D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70dB（A）</w:t>
                  </w:r>
                </w:p>
              </w:tc>
            </w:tr>
            <w:tr w14:paraId="203C62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057E24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3</w:t>
                  </w:r>
                </w:p>
              </w:tc>
              <w:tc>
                <w:tcPr>
                  <w:tcW w:w="1263" w:type="pct"/>
                  <w:tcBorders>
                    <w:tl2br w:val="nil"/>
                    <w:tr2bl w:val="nil"/>
                  </w:tcBorders>
                  <w:vAlign w:val="center"/>
                </w:tcPr>
                <w:p w14:paraId="324C7EA5">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皮</w:t>
                  </w:r>
                  <w:r>
                    <w:rPr>
                      <w:rFonts w:ascii="Times New Roman" w:hAnsi="Times New Roman" w:eastAsia="宋体"/>
                      <w:color w:val="000000" w:themeColor="text1"/>
                      <w:szCs w:val="21"/>
                      <w:highlight w:val="none"/>
                      <w14:textFill>
                        <w14:solidFill>
                          <w14:schemeClr w14:val="tx1"/>
                        </w14:solidFill>
                      </w14:textFill>
                    </w:rPr>
                    <w:t>带输送机</w:t>
                  </w:r>
                </w:p>
              </w:tc>
              <w:tc>
                <w:tcPr>
                  <w:tcW w:w="898" w:type="pct"/>
                  <w:tcBorders>
                    <w:tl2br w:val="nil"/>
                    <w:tr2bl w:val="nil"/>
                  </w:tcBorders>
                  <w:vAlign w:val="center"/>
                </w:tcPr>
                <w:p w14:paraId="14F57E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70dB（A）</w:t>
                  </w:r>
                </w:p>
              </w:tc>
              <w:tc>
                <w:tcPr>
                  <w:tcW w:w="353" w:type="pct"/>
                  <w:tcBorders>
                    <w:tl2br w:val="nil"/>
                    <w:tr2bl w:val="nil"/>
                  </w:tcBorders>
                  <w:vAlign w:val="center"/>
                </w:tcPr>
                <w:p w14:paraId="7AD829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1251" w:type="pct"/>
                  <w:tcBorders>
                    <w:tl2br w:val="nil"/>
                    <w:tr2bl w:val="nil"/>
                  </w:tcBorders>
                  <w:vAlign w:val="center"/>
                </w:tcPr>
                <w:p w14:paraId="13F6C122">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装载机</w:t>
                  </w:r>
                </w:p>
              </w:tc>
              <w:tc>
                <w:tcPr>
                  <w:tcW w:w="894" w:type="pct"/>
                  <w:tcBorders>
                    <w:tl2br w:val="nil"/>
                    <w:tr2bl w:val="nil"/>
                  </w:tcBorders>
                  <w:vAlign w:val="center"/>
                </w:tcPr>
                <w:p w14:paraId="30EFCC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85dB（A）</w:t>
                  </w:r>
                </w:p>
              </w:tc>
            </w:tr>
            <w:tr w14:paraId="528541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03A1910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4</w:t>
                  </w:r>
                </w:p>
              </w:tc>
              <w:tc>
                <w:tcPr>
                  <w:tcW w:w="1263" w:type="pct"/>
                  <w:tcBorders>
                    <w:tl2br w:val="nil"/>
                    <w:tr2bl w:val="nil"/>
                  </w:tcBorders>
                  <w:vAlign w:val="center"/>
                </w:tcPr>
                <w:p w14:paraId="07451004">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振动筛</w:t>
                  </w:r>
                </w:p>
              </w:tc>
              <w:tc>
                <w:tcPr>
                  <w:tcW w:w="898" w:type="pct"/>
                  <w:tcBorders>
                    <w:tl2br w:val="nil"/>
                    <w:tr2bl w:val="nil"/>
                  </w:tcBorders>
                  <w:vAlign w:val="center"/>
                </w:tcPr>
                <w:p w14:paraId="36E56E0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05B5D4B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10</w:t>
                  </w:r>
                </w:p>
              </w:tc>
              <w:tc>
                <w:tcPr>
                  <w:tcW w:w="1251" w:type="pct"/>
                  <w:tcBorders>
                    <w:tl2br w:val="nil"/>
                    <w:tr2bl w:val="nil"/>
                  </w:tcBorders>
                  <w:vAlign w:val="center"/>
                </w:tcPr>
                <w:p w14:paraId="5D581884">
                  <w:pPr>
                    <w:keepNext w:val="0"/>
                    <w:keepLines w:val="0"/>
                    <w:pageBreakBefore w:val="0"/>
                    <w:widowControl w:val="0"/>
                    <w:kinsoku/>
                    <w:wordWrap/>
                    <w:overflowPunct/>
                    <w:topLinePunct w:val="0"/>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自卸汽车</w:t>
                  </w:r>
                </w:p>
              </w:tc>
              <w:tc>
                <w:tcPr>
                  <w:tcW w:w="894" w:type="pct"/>
                  <w:tcBorders>
                    <w:tl2br w:val="nil"/>
                    <w:tr2bl w:val="nil"/>
                  </w:tcBorders>
                  <w:vAlign w:val="center"/>
                </w:tcPr>
                <w:p w14:paraId="5FB3D5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85dB（A）</w:t>
                  </w:r>
                </w:p>
              </w:tc>
            </w:tr>
            <w:tr w14:paraId="4D6BA7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5D6070B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w:t>
                  </w:r>
                </w:p>
              </w:tc>
              <w:tc>
                <w:tcPr>
                  <w:tcW w:w="1263" w:type="pct"/>
                  <w:tcBorders>
                    <w:tl2br w:val="nil"/>
                    <w:tr2bl w:val="nil"/>
                  </w:tcBorders>
                  <w:vAlign w:val="center"/>
                </w:tcPr>
                <w:p w14:paraId="383A9070">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装载机</w:t>
                  </w:r>
                </w:p>
              </w:tc>
              <w:tc>
                <w:tcPr>
                  <w:tcW w:w="898" w:type="pct"/>
                  <w:tcBorders>
                    <w:tl2br w:val="nil"/>
                    <w:tr2bl w:val="nil"/>
                  </w:tcBorders>
                  <w:vAlign w:val="center"/>
                </w:tcPr>
                <w:p w14:paraId="70A46ED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85dB（A）</w:t>
                  </w:r>
                </w:p>
              </w:tc>
              <w:tc>
                <w:tcPr>
                  <w:tcW w:w="353" w:type="pct"/>
                  <w:tcBorders>
                    <w:tl2br w:val="nil"/>
                    <w:tr2bl w:val="nil"/>
                  </w:tcBorders>
                  <w:vAlign w:val="center"/>
                </w:tcPr>
                <w:p w14:paraId="3F6D36A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51" w:type="pct"/>
                  <w:tcBorders>
                    <w:tl2br w:val="nil"/>
                    <w:tr2bl w:val="nil"/>
                  </w:tcBorders>
                  <w:vAlign w:val="center"/>
                </w:tcPr>
                <w:p w14:paraId="07C561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c>
                <w:tcPr>
                  <w:tcW w:w="894" w:type="pct"/>
                  <w:tcBorders>
                    <w:tl2br w:val="nil"/>
                    <w:tr2bl w:val="nil"/>
                  </w:tcBorders>
                  <w:vAlign w:val="center"/>
                </w:tcPr>
                <w:p w14:paraId="520C4C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r>
            <w:tr w14:paraId="4D153D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21F2B2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6</w:t>
                  </w:r>
                </w:p>
              </w:tc>
              <w:tc>
                <w:tcPr>
                  <w:tcW w:w="1263" w:type="pct"/>
                  <w:tcBorders>
                    <w:tl2br w:val="nil"/>
                    <w:tr2bl w:val="nil"/>
                  </w:tcBorders>
                  <w:vAlign w:val="center"/>
                </w:tcPr>
                <w:p w14:paraId="50216F9C">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自卸汽车</w:t>
                  </w:r>
                </w:p>
              </w:tc>
              <w:tc>
                <w:tcPr>
                  <w:tcW w:w="898" w:type="pct"/>
                  <w:tcBorders>
                    <w:tl2br w:val="nil"/>
                    <w:tr2bl w:val="nil"/>
                  </w:tcBorders>
                  <w:vAlign w:val="center"/>
                </w:tcPr>
                <w:p w14:paraId="4E9237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85dB（A）</w:t>
                  </w:r>
                </w:p>
              </w:tc>
              <w:tc>
                <w:tcPr>
                  <w:tcW w:w="353" w:type="pct"/>
                  <w:tcBorders>
                    <w:tl2br w:val="nil"/>
                    <w:tr2bl w:val="nil"/>
                  </w:tcBorders>
                  <w:vAlign w:val="center"/>
                </w:tcPr>
                <w:p w14:paraId="0B2FD4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51" w:type="pct"/>
                  <w:tcBorders>
                    <w:tl2br w:val="nil"/>
                    <w:tr2bl w:val="nil"/>
                  </w:tcBorders>
                  <w:vAlign w:val="center"/>
                </w:tcPr>
                <w:p w14:paraId="28476F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c>
                <w:tcPr>
                  <w:tcW w:w="894" w:type="pct"/>
                  <w:tcBorders>
                    <w:tl2br w:val="nil"/>
                    <w:tr2bl w:val="nil"/>
                  </w:tcBorders>
                  <w:vAlign w:val="center"/>
                </w:tcPr>
                <w:p w14:paraId="27D98C0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r>
            <w:tr w14:paraId="3D6AD6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2500" w:type="pct"/>
                  <w:gridSpan w:val="3"/>
                  <w:tcBorders>
                    <w:tl2br w:val="nil"/>
                    <w:tr2bl w:val="nil"/>
                  </w:tcBorders>
                  <w:vAlign w:val="center"/>
                </w:tcPr>
                <w:p w14:paraId="50BFE9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拌和区</w:t>
                  </w:r>
                </w:p>
              </w:tc>
              <w:tc>
                <w:tcPr>
                  <w:tcW w:w="2499" w:type="pct"/>
                  <w:gridSpan w:val="3"/>
                  <w:tcBorders>
                    <w:tl2br w:val="nil"/>
                    <w:tr2bl w:val="nil"/>
                  </w:tcBorders>
                  <w:vAlign w:val="center"/>
                </w:tcPr>
                <w:p w14:paraId="4ECD44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t>钢结构加工区</w:t>
                  </w:r>
                </w:p>
              </w:tc>
            </w:tr>
            <w:tr w14:paraId="2D8E83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3C32CE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11</w:t>
                  </w:r>
                </w:p>
              </w:tc>
              <w:tc>
                <w:tcPr>
                  <w:tcW w:w="1263" w:type="pct"/>
                  <w:tcBorders>
                    <w:tl2br w:val="nil"/>
                    <w:tr2bl w:val="nil"/>
                  </w:tcBorders>
                  <w:vAlign w:val="center"/>
                </w:tcPr>
                <w:p w14:paraId="7F68D9F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楼</w:t>
                  </w:r>
                </w:p>
              </w:tc>
              <w:tc>
                <w:tcPr>
                  <w:tcW w:w="898" w:type="pct"/>
                  <w:tcBorders>
                    <w:tl2br w:val="nil"/>
                    <w:tr2bl w:val="nil"/>
                  </w:tcBorders>
                  <w:vAlign w:val="center"/>
                </w:tcPr>
                <w:p w14:paraId="1659F51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6D09CDF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17</w:t>
                  </w:r>
                </w:p>
              </w:tc>
              <w:tc>
                <w:tcPr>
                  <w:tcW w:w="1251" w:type="pct"/>
                  <w:tcBorders>
                    <w:tl2br w:val="nil"/>
                    <w:tr2bl w:val="nil"/>
                  </w:tcBorders>
                  <w:vAlign w:val="center"/>
                </w:tcPr>
                <w:p w14:paraId="2FCC78E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全自动液压钢筋调直切断机</w:t>
                  </w:r>
                </w:p>
              </w:tc>
              <w:tc>
                <w:tcPr>
                  <w:tcW w:w="894" w:type="pct"/>
                  <w:tcBorders>
                    <w:tl2br w:val="nil"/>
                    <w:tr2bl w:val="nil"/>
                  </w:tcBorders>
                  <w:vAlign w:val="center"/>
                </w:tcPr>
                <w:p w14:paraId="74384E2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6C17D4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4C804D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12</w:t>
                  </w:r>
                </w:p>
              </w:tc>
              <w:tc>
                <w:tcPr>
                  <w:tcW w:w="1263" w:type="pct"/>
                  <w:tcBorders>
                    <w:tl2br w:val="nil"/>
                    <w:tr2bl w:val="nil"/>
                  </w:tcBorders>
                  <w:vAlign w:val="center"/>
                </w:tcPr>
                <w:p w14:paraId="1BBBDE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898" w:type="pct"/>
                  <w:tcBorders>
                    <w:tl2br w:val="nil"/>
                    <w:tr2bl w:val="nil"/>
                  </w:tcBorders>
                  <w:vAlign w:val="center"/>
                </w:tcPr>
                <w:p w14:paraId="3F4785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70dB（A）</w:t>
                  </w:r>
                </w:p>
              </w:tc>
              <w:tc>
                <w:tcPr>
                  <w:tcW w:w="353" w:type="pct"/>
                  <w:tcBorders>
                    <w:tl2br w:val="nil"/>
                    <w:tr2bl w:val="nil"/>
                  </w:tcBorders>
                  <w:vAlign w:val="center"/>
                </w:tcPr>
                <w:p w14:paraId="23F7ED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18</w:t>
                  </w:r>
                </w:p>
              </w:tc>
              <w:tc>
                <w:tcPr>
                  <w:tcW w:w="1251" w:type="pct"/>
                  <w:tcBorders>
                    <w:tl2br w:val="nil"/>
                    <w:tr2bl w:val="nil"/>
                  </w:tcBorders>
                  <w:vAlign w:val="center"/>
                </w:tcPr>
                <w:p w14:paraId="538CE79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自动焊网机</w:t>
                  </w:r>
                </w:p>
              </w:tc>
              <w:tc>
                <w:tcPr>
                  <w:tcW w:w="894" w:type="pct"/>
                  <w:tcBorders>
                    <w:tl2br w:val="nil"/>
                    <w:tr2bl w:val="nil"/>
                  </w:tcBorders>
                  <w:vAlign w:val="center"/>
                </w:tcPr>
                <w:p w14:paraId="0A2531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58B1FE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58B1DF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13</w:t>
                  </w:r>
                </w:p>
              </w:tc>
              <w:tc>
                <w:tcPr>
                  <w:tcW w:w="1263" w:type="pct"/>
                  <w:tcBorders>
                    <w:tl2br w:val="nil"/>
                    <w:tr2bl w:val="nil"/>
                  </w:tcBorders>
                  <w:vAlign w:val="center"/>
                </w:tcPr>
                <w:p w14:paraId="49109D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p>
              </w:tc>
              <w:tc>
                <w:tcPr>
                  <w:tcW w:w="898" w:type="pct"/>
                  <w:tcBorders>
                    <w:tl2br w:val="nil"/>
                    <w:tr2bl w:val="nil"/>
                  </w:tcBorders>
                  <w:vAlign w:val="center"/>
                </w:tcPr>
                <w:p w14:paraId="6759B1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85dB（A）</w:t>
                  </w:r>
                </w:p>
              </w:tc>
              <w:tc>
                <w:tcPr>
                  <w:tcW w:w="353" w:type="pct"/>
                  <w:tcBorders>
                    <w:tl2br w:val="nil"/>
                    <w:tr2bl w:val="nil"/>
                  </w:tcBorders>
                  <w:vAlign w:val="center"/>
                </w:tcPr>
                <w:p w14:paraId="6C5779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19</w:t>
                  </w:r>
                </w:p>
              </w:tc>
              <w:tc>
                <w:tcPr>
                  <w:tcW w:w="1251" w:type="pct"/>
                  <w:tcBorders>
                    <w:tl2br w:val="nil"/>
                    <w:tr2bl w:val="nil"/>
                  </w:tcBorders>
                  <w:vAlign w:val="center"/>
                </w:tcPr>
                <w:p w14:paraId="6DA53E0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数控钢筋弯曲中心</w:t>
                  </w:r>
                </w:p>
              </w:tc>
              <w:tc>
                <w:tcPr>
                  <w:tcW w:w="894" w:type="pct"/>
                  <w:tcBorders>
                    <w:tl2br w:val="nil"/>
                    <w:tr2bl w:val="nil"/>
                  </w:tcBorders>
                  <w:vAlign w:val="center"/>
                </w:tcPr>
                <w:p w14:paraId="1DAC92F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22B09A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5FD942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14</w:t>
                  </w:r>
                </w:p>
              </w:tc>
              <w:tc>
                <w:tcPr>
                  <w:tcW w:w="1263" w:type="pct"/>
                  <w:tcBorders>
                    <w:tl2br w:val="nil"/>
                    <w:tr2bl w:val="nil"/>
                  </w:tcBorders>
                  <w:vAlign w:val="center"/>
                </w:tcPr>
                <w:p w14:paraId="7440E8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砂石分离机</w:t>
                  </w:r>
                </w:p>
              </w:tc>
              <w:tc>
                <w:tcPr>
                  <w:tcW w:w="898" w:type="pct"/>
                  <w:tcBorders>
                    <w:tl2br w:val="nil"/>
                    <w:tr2bl w:val="nil"/>
                  </w:tcBorders>
                  <w:vAlign w:val="center"/>
                </w:tcPr>
                <w:p w14:paraId="4CA90D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9</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2659E07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c>
                <w:tcPr>
                  <w:tcW w:w="1251" w:type="pct"/>
                  <w:tcBorders>
                    <w:tl2br w:val="nil"/>
                    <w:tr2bl w:val="nil"/>
                  </w:tcBorders>
                  <w:vAlign w:val="center"/>
                </w:tcPr>
                <w:p w14:paraId="1AC1090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数控钢筋弯箍机</w:t>
                  </w:r>
                </w:p>
              </w:tc>
              <w:tc>
                <w:tcPr>
                  <w:tcW w:w="894" w:type="pct"/>
                  <w:tcBorders>
                    <w:tl2br w:val="nil"/>
                    <w:tr2bl w:val="nil"/>
                  </w:tcBorders>
                  <w:vAlign w:val="center"/>
                </w:tcPr>
                <w:p w14:paraId="2E52C2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724CA3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6E4FEF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15</w:t>
                  </w:r>
                </w:p>
              </w:tc>
              <w:tc>
                <w:tcPr>
                  <w:tcW w:w="1263" w:type="pct"/>
                  <w:tcBorders>
                    <w:tl2br w:val="nil"/>
                    <w:tr2bl w:val="nil"/>
                  </w:tcBorders>
                  <w:vAlign w:val="center"/>
                </w:tcPr>
                <w:p w14:paraId="345FC84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压滤机</w:t>
                  </w:r>
                </w:p>
              </w:tc>
              <w:tc>
                <w:tcPr>
                  <w:tcW w:w="898" w:type="pct"/>
                  <w:tcBorders>
                    <w:tl2br w:val="nil"/>
                    <w:tr2bl w:val="nil"/>
                  </w:tcBorders>
                  <w:vAlign w:val="center"/>
                </w:tcPr>
                <w:p w14:paraId="2E64C13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1F862E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21</w:t>
                  </w:r>
                </w:p>
              </w:tc>
              <w:tc>
                <w:tcPr>
                  <w:tcW w:w="1251" w:type="pct"/>
                  <w:tcBorders>
                    <w:tl2br w:val="nil"/>
                    <w:tr2bl w:val="nil"/>
                  </w:tcBorders>
                  <w:vAlign w:val="center"/>
                </w:tcPr>
                <w:p w14:paraId="7796C2AA">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滚丝机</w:t>
                  </w:r>
                </w:p>
              </w:tc>
              <w:tc>
                <w:tcPr>
                  <w:tcW w:w="894" w:type="pct"/>
                  <w:tcBorders>
                    <w:tl2br w:val="nil"/>
                    <w:tr2bl w:val="nil"/>
                  </w:tcBorders>
                  <w:vAlign w:val="center"/>
                </w:tcPr>
                <w:p w14:paraId="143CE0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4A7A2A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678D66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16</w:t>
                  </w:r>
                </w:p>
              </w:tc>
              <w:tc>
                <w:tcPr>
                  <w:tcW w:w="1263" w:type="pct"/>
                  <w:tcBorders>
                    <w:tl2br w:val="nil"/>
                    <w:tr2bl w:val="nil"/>
                  </w:tcBorders>
                  <w:vAlign w:val="center"/>
                </w:tcPr>
                <w:p w14:paraId="140D108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备用发电机</w:t>
                  </w:r>
                </w:p>
              </w:tc>
              <w:tc>
                <w:tcPr>
                  <w:tcW w:w="898" w:type="pct"/>
                  <w:tcBorders>
                    <w:tl2br w:val="nil"/>
                    <w:tr2bl w:val="nil"/>
                  </w:tcBorders>
                  <w:vAlign w:val="center"/>
                </w:tcPr>
                <w:p w14:paraId="6E87721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9</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32D80E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22</w:t>
                  </w:r>
                </w:p>
              </w:tc>
              <w:tc>
                <w:tcPr>
                  <w:tcW w:w="1251" w:type="pct"/>
                  <w:tcBorders>
                    <w:tl2br w:val="nil"/>
                    <w:tr2bl w:val="nil"/>
                  </w:tcBorders>
                  <w:vAlign w:val="center"/>
                </w:tcPr>
                <w:p w14:paraId="7EF42FFC">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钢筋笼滚焊机</w:t>
                  </w:r>
                </w:p>
              </w:tc>
              <w:tc>
                <w:tcPr>
                  <w:tcW w:w="894" w:type="pct"/>
                  <w:tcBorders>
                    <w:tl2br w:val="nil"/>
                    <w:tr2bl w:val="nil"/>
                  </w:tcBorders>
                  <w:vAlign w:val="center"/>
                </w:tcPr>
                <w:p w14:paraId="561CDD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12D455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11BB4B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63" w:type="pct"/>
                  <w:tcBorders>
                    <w:tl2br w:val="nil"/>
                    <w:tr2bl w:val="nil"/>
                  </w:tcBorders>
                  <w:vAlign w:val="center"/>
                </w:tcPr>
                <w:p w14:paraId="7CDC96D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c>
                <w:tcPr>
                  <w:tcW w:w="898" w:type="pct"/>
                  <w:tcBorders>
                    <w:tl2br w:val="nil"/>
                    <w:tr2bl w:val="nil"/>
                  </w:tcBorders>
                  <w:vAlign w:val="center"/>
                </w:tcPr>
                <w:p w14:paraId="57D627E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c>
                <w:tcPr>
                  <w:tcW w:w="353" w:type="pct"/>
                  <w:tcBorders>
                    <w:tl2br w:val="nil"/>
                    <w:tr2bl w:val="nil"/>
                  </w:tcBorders>
                  <w:vAlign w:val="center"/>
                </w:tcPr>
                <w:p w14:paraId="627064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23</w:t>
                  </w:r>
                </w:p>
              </w:tc>
              <w:tc>
                <w:tcPr>
                  <w:tcW w:w="1251" w:type="pct"/>
                  <w:tcBorders>
                    <w:tl2br w:val="nil"/>
                    <w:tr2bl w:val="nil"/>
                  </w:tcBorders>
                  <w:vAlign w:val="center"/>
                </w:tcPr>
                <w:p w14:paraId="5B9C0F58">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894" w:type="pct"/>
                  <w:tcBorders>
                    <w:tl2br w:val="nil"/>
                    <w:tr2bl w:val="nil"/>
                  </w:tcBorders>
                  <w:vAlign w:val="center"/>
                </w:tcPr>
                <w:p w14:paraId="488631B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4B70333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5000" w:type="pct"/>
                  <w:gridSpan w:val="6"/>
                  <w:tcBorders>
                    <w:tl2br w:val="nil"/>
                    <w:tr2bl w:val="nil"/>
                  </w:tcBorders>
                  <w:vAlign w:val="center"/>
                </w:tcPr>
                <w:p w14:paraId="06DC22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预制梁区</w:t>
                  </w:r>
                </w:p>
              </w:tc>
            </w:tr>
            <w:tr w14:paraId="19F5C2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4A83FF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24</w:t>
                  </w:r>
                </w:p>
              </w:tc>
              <w:tc>
                <w:tcPr>
                  <w:tcW w:w="1263" w:type="pct"/>
                  <w:tcBorders>
                    <w:tl2br w:val="nil"/>
                    <w:tr2bl w:val="nil"/>
                  </w:tcBorders>
                  <w:vAlign w:val="center"/>
                </w:tcPr>
                <w:p w14:paraId="196D16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智能张拉设备</w:t>
                  </w:r>
                </w:p>
              </w:tc>
              <w:tc>
                <w:tcPr>
                  <w:tcW w:w="898" w:type="pct"/>
                  <w:tcBorders>
                    <w:tl2br w:val="nil"/>
                    <w:tr2bl w:val="nil"/>
                  </w:tcBorders>
                  <w:vAlign w:val="center"/>
                </w:tcPr>
                <w:p w14:paraId="2FFE26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02E1B97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27</w:t>
                  </w:r>
                </w:p>
              </w:tc>
              <w:tc>
                <w:tcPr>
                  <w:tcW w:w="1251" w:type="pct"/>
                  <w:tcBorders>
                    <w:tl2br w:val="nil"/>
                    <w:tr2bl w:val="nil"/>
                  </w:tcBorders>
                  <w:vAlign w:val="center"/>
                </w:tcPr>
                <w:p w14:paraId="52C0DE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894" w:type="pct"/>
                  <w:tcBorders>
                    <w:tl2br w:val="nil"/>
                    <w:tr2bl w:val="nil"/>
                  </w:tcBorders>
                  <w:vAlign w:val="center"/>
                </w:tcPr>
                <w:p w14:paraId="0CED9B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3FF7A4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14C049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25</w:t>
                  </w:r>
                </w:p>
              </w:tc>
              <w:tc>
                <w:tcPr>
                  <w:tcW w:w="1263" w:type="pct"/>
                  <w:tcBorders>
                    <w:tl2br w:val="nil"/>
                    <w:tr2bl w:val="nil"/>
                  </w:tcBorders>
                  <w:vAlign w:val="center"/>
                </w:tcPr>
                <w:p w14:paraId="3E7006F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智能压浆设备</w:t>
                  </w:r>
                </w:p>
              </w:tc>
              <w:tc>
                <w:tcPr>
                  <w:tcW w:w="898" w:type="pct"/>
                  <w:tcBorders>
                    <w:tl2br w:val="nil"/>
                    <w:tr2bl w:val="nil"/>
                  </w:tcBorders>
                  <w:vAlign w:val="center"/>
                </w:tcPr>
                <w:p w14:paraId="457855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80</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69C6F7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28</w:t>
                  </w:r>
                </w:p>
              </w:tc>
              <w:tc>
                <w:tcPr>
                  <w:tcW w:w="1251" w:type="pct"/>
                  <w:tcBorders>
                    <w:tl2br w:val="nil"/>
                    <w:tr2bl w:val="nil"/>
                  </w:tcBorders>
                  <w:vAlign w:val="center"/>
                </w:tcPr>
                <w:p w14:paraId="4B406F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894" w:type="pct"/>
                  <w:tcBorders>
                    <w:tl2br w:val="nil"/>
                    <w:tr2bl w:val="nil"/>
                  </w:tcBorders>
                  <w:vAlign w:val="center"/>
                </w:tcPr>
                <w:p w14:paraId="5A0E34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r>
            <w:tr w14:paraId="351789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8" w:type="pct"/>
                  <w:tcBorders>
                    <w:tl2br w:val="nil"/>
                    <w:tr2bl w:val="nil"/>
                  </w:tcBorders>
                  <w:vAlign w:val="center"/>
                </w:tcPr>
                <w:p w14:paraId="40EC1A7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26</w:t>
                  </w:r>
                </w:p>
              </w:tc>
              <w:tc>
                <w:tcPr>
                  <w:tcW w:w="1263" w:type="pct"/>
                  <w:tcBorders>
                    <w:tl2br w:val="nil"/>
                    <w:tr2bl w:val="nil"/>
                  </w:tcBorders>
                  <w:vAlign w:val="center"/>
                </w:tcPr>
                <w:p w14:paraId="66E195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自动喷淋养护系统</w:t>
                  </w:r>
                </w:p>
              </w:tc>
              <w:tc>
                <w:tcPr>
                  <w:tcW w:w="898" w:type="pct"/>
                  <w:tcBorders>
                    <w:tl2br w:val="nil"/>
                    <w:tr2bl w:val="nil"/>
                  </w:tcBorders>
                  <w:vAlign w:val="center"/>
                </w:tcPr>
                <w:p w14:paraId="6F6D1A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85</w:t>
                  </w:r>
                  <w:r>
                    <w:rPr>
                      <w:rFonts w:hint="default" w:ascii="Times New Roman" w:hAnsi="Times New Roman" w:eastAsia="宋体" w:cs="Times New Roman"/>
                      <w:color w:val="000000" w:themeColor="text1"/>
                      <w:sz w:val="21"/>
                      <w:szCs w:val="21"/>
                      <w:highlight w:val="none"/>
                      <w14:textFill>
                        <w14:solidFill>
                          <w14:schemeClr w14:val="tx1"/>
                        </w14:solidFill>
                      </w14:textFill>
                    </w:rPr>
                    <w:t>dB（A）</w:t>
                  </w:r>
                </w:p>
              </w:tc>
              <w:tc>
                <w:tcPr>
                  <w:tcW w:w="353" w:type="pct"/>
                  <w:tcBorders>
                    <w:tl2br w:val="nil"/>
                    <w:tr2bl w:val="nil"/>
                  </w:tcBorders>
                  <w:vAlign w:val="center"/>
                </w:tcPr>
                <w:p w14:paraId="3879B5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1251" w:type="pct"/>
                  <w:tcBorders>
                    <w:tl2br w:val="nil"/>
                    <w:tr2bl w:val="nil"/>
                  </w:tcBorders>
                  <w:vAlign w:val="center"/>
                </w:tcPr>
                <w:p w14:paraId="68786E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c>
                <w:tcPr>
                  <w:tcW w:w="894" w:type="pct"/>
                  <w:tcBorders>
                    <w:tl2br w:val="nil"/>
                    <w:tr2bl w:val="nil"/>
                  </w:tcBorders>
                  <w:vAlign w:val="center"/>
                </w:tcPr>
                <w:p w14:paraId="556B921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p>
              </w:tc>
            </w:tr>
          </w:tbl>
          <w:p w14:paraId="75E96EBF">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rFonts w:hint="default"/>
                <w:b/>
                <w:bCs/>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2、治理措施</w:t>
            </w:r>
          </w:p>
          <w:p w14:paraId="049B20B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（1）控制噪声源</w:t>
            </w:r>
          </w:p>
          <w:p w14:paraId="1FF098E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①在设备订货时需选用低噪声的生产设备和工艺，要求设备生产厂家提供符合噪声允许标准的产品。及时维修、更换老化、产生噪声大的设备；加强管理，设备做到定期维护和保养。</w:t>
            </w:r>
          </w:p>
          <w:p w14:paraId="7153DE0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②对振动筛、破碎机等高噪声设备加装减震垫/橡胶垫，</w:t>
            </w:r>
            <w:r>
              <w:rPr>
                <w:color w:val="000000" w:themeColor="text1"/>
                <w:sz w:val="24"/>
                <w:szCs w:val="28"/>
                <w:highlight w:val="none"/>
                <w14:textFill>
                  <w14:solidFill>
                    <w14:schemeClr w14:val="tx1"/>
                  </w14:solidFill>
                </w14:textFill>
              </w:rPr>
              <w:t>采用弹性支承或弹性连接以减少振动</w:t>
            </w:r>
            <w:r>
              <w:rPr>
                <w:rFonts w:hint="eastAsia"/>
                <w:color w:val="000000" w:themeColor="text1"/>
                <w:sz w:val="24"/>
                <w:szCs w:val="28"/>
                <w:highlight w:val="none"/>
                <w:lang w:eastAsia="zh-CN"/>
                <w14:textFill>
                  <w14:solidFill>
                    <w14:schemeClr w14:val="tx1"/>
                  </w14:solidFill>
                </w14:textFill>
              </w:rPr>
              <w:t>。</w:t>
            </w:r>
          </w:p>
          <w:p w14:paraId="3EB65B7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③加强管理，减少非正常噪声，加强职工环保意识教育，减少人为因素造成的噪声。</w:t>
            </w:r>
          </w:p>
          <w:p w14:paraId="611BBB2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Cs/>
                <w:color w:val="000000" w:themeColor="text1"/>
                <w:sz w:val="24"/>
                <w:highlight w:val="none"/>
                <w14:textFill>
                  <w14:solidFill>
                    <w14:schemeClr w14:val="tx1"/>
                  </w14:solidFill>
                </w14:textFill>
              </w:rPr>
              <w:t>④加强设备管理和维护：定期在皮带输送机、螺旋输送机等设备的滚轴处加机油，从而减少摩擦噪声产生；必须定期对设备进行检查，确保设备处于良好的运转状态，杜绝因设备不正常运转产生的高噪声现象；对故障或损坏的设备及时进行维护或更换。</w:t>
            </w:r>
          </w:p>
          <w:p w14:paraId="61C86FF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Cs/>
                <w:color w:val="000000" w:themeColor="text1"/>
                <w:sz w:val="24"/>
                <w:szCs w:val="22"/>
                <w:highlight w:val="none"/>
                <w14:textFill>
                  <w14:solidFill>
                    <w14:schemeClr w14:val="tx1"/>
                  </w14:solidFill>
                </w14:textFill>
              </w:rPr>
              <w:t>⑤根据调查，当车辆在平滑路面行驶时其噪声值较坑洼路面行驶时的噪声值要低15dB（A），因此要求企业修筑平滑路面，尽量减小路面坡度，这样可大大减轻车辆在启动及行驶过程发动机轰鸣噪声。</w:t>
            </w:r>
          </w:p>
          <w:p w14:paraId="60B052E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（2）阻断噪声传播</w:t>
            </w:r>
          </w:p>
          <w:p w14:paraId="6FD369F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①本项目所有生产过程均在密闭厂房内，采用四周彩钢棚全封闭厂房，厂房外设置绿化带隔离，以降低噪声的影响。</w:t>
            </w:r>
          </w:p>
          <w:p w14:paraId="737571C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②厂房墙体设计中选用隔声、吸声好的结构，封闭高噪声车间。</w:t>
            </w:r>
          </w:p>
          <w:p w14:paraId="676D61A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③合理进行厂区总图布置，</w:t>
            </w:r>
            <w:r>
              <w:rPr>
                <w:rFonts w:hint="default" w:ascii="Times New Roman" w:hAnsi="Times New Roman" w:cs="Times New Roman"/>
                <w:bCs/>
                <w:color w:val="000000" w:themeColor="text1"/>
                <w:sz w:val="24"/>
                <w:highlight w:val="none"/>
                <w14:textFill>
                  <w14:solidFill>
                    <w14:schemeClr w14:val="tx1"/>
                  </w14:solidFill>
                </w14:textFill>
              </w:rPr>
              <w:t>主要工作区（原料输送、搅拌等）设置位置离厂界较远；通过距离衰减，减少对周围环境的影响</w:t>
            </w:r>
            <w:r>
              <w:rPr>
                <w:rFonts w:hint="eastAsia"/>
                <w:color w:val="000000" w:themeColor="text1"/>
                <w:sz w:val="24"/>
                <w:szCs w:val="24"/>
                <w:highlight w:val="none"/>
                <w:lang w:val="en-US" w:eastAsia="zh-CN"/>
                <w14:textFill>
                  <w14:solidFill>
                    <w14:schemeClr w14:val="tx1"/>
                  </w14:solidFill>
                </w14:textFill>
              </w:rPr>
              <w:t>。</w:t>
            </w:r>
          </w:p>
          <w:p w14:paraId="4AEFE9D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④交通噪声：加强车辆进出管理，车辆在进出场地时</w:t>
            </w:r>
            <w:r>
              <w:rPr>
                <w:rFonts w:hint="eastAsia" w:ascii="Times New Roman" w:hAnsi="Times New Roman"/>
                <w:color w:val="000000" w:themeColor="text1"/>
                <w:sz w:val="24"/>
                <w:highlight w:val="none"/>
                <w14:textFill>
                  <w14:solidFill>
                    <w14:schemeClr w14:val="tx1"/>
                  </w14:solidFill>
                </w14:textFill>
              </w:rPr>
              <w:t>需减速行驶，车速5km/h计，</w:t>
            </w:r>
            <w:r>
              <w:rPr>
                <w:rFonts w:hint="eastAsia"/>
                <w:color w:val="000000" w:themeColor="text1"/>
                <w:sz w:val="24"/>
                <w:szCs w:val="24"/>
                <w:highlight w:val="none"/>
                <w:lang w:val="en-US" w:eastAsia="zh-CN"/>
                <w14:textFill>
                  <w14:solidFill>
                    <w14:schemeClr w14:val="tx1"/>
                  </w14:solidFill>
                </w14:textFill>
              </w:rPr>
              <w:t>禁止鸣笛等。</w:t>
            </w:r>
            <w:r>
              <w:rPr>
                <w:rFonts w:hint="default" w:ascii="Times New Roman" w:hAnsi="Times New Roman" w:cs="Times New Roman"/>
                <w:color w:val="000000" w:themeColor="text1"/>
                <w:sz w:val="24"/>
                <w:highlight w:val="none"/>
                <w14:textFill>
                  <w14:solidFill>
                    <w14:schemeClr w14:val="tx1"/>
                  </w14:solidFill>
                </w14:textFill>
              </w:rPr>
              <w:t>加强运输车辆管理，合理安排车辆运输路线，尽量避开居民点和环境敏感点</w:t>
            </w:r>
            <w:r>
              <w:rPr>
                <w:rFonts w:hint="default" w:ascii="Times New Roman" w:hAnsi="Times New Roman" w:cs="Times New Roman"/>
                <w:bCs/>
                <w:color w:val="000000" w:themeColor="text1"/>
                <w:sz w:val="24"/>
                <w:highlight w:val="none"/>
                <w14:textFill>
                  <w14:solidFill>
                    <w14:schemeClr w14:val="tx1"/>
                  </w14:solidFill>
                </w14:textFill>
              </w:rPr>
              <w:t>。</w:t>
            </w:r>
            <w:r>
              <w:rPr>
                <w:rFonts w:hint="default" w:ascii="Times New Roman" w:hAnsi="Times New Roman" w:cs="Times New Roman"/>
                <w:color w:val="000000" w:themeColor="text1"/>
                <w:sz w:val="24"/>
                <w:highlight w:val="none"/>
                <w14:textFill>
                  <w14:solidFill>
                    <w14:schemeClr w14:val="tx1"/>
                  </w14:solidFill>
                </w14:textFill>
              </w:rPr>
              <w:t>原辅材料等运输车辆主要集中在昼间，在途经路段附近有居民点路段时，均减速慢行、禁止鸣笛。</w:t>
            </w:r>
          </w:p>
          <w:p w14:paraId="1BF4141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3、厂界达标性分析</w:t>
            </w:r>
          </w:p>
          <w:p w14:paraId="7F15B48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（1）噪声预测模式</w:t>
            </w:r>
          </w:p>
          <w:p w14:paraId="12AE6A2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仅在昼间进行施工，噪声预测仅预测昼间噪声值。项目运营期间噪声污染源主要为设备运行噪声，项目通过对产噪设备进行基础减震、厂房隔声、合理布局的等措施，降低项目运行时噪声对周围环境的影响。项目噪声预测采用噪声衰减模式和多源叠加模式进行预测，具体模式如下：</w:t>
            </w:r>
          </w:p>
          <w:p w14:paraId="7DBBAEC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①噪声衰减模式</w:t>
            </w:r>
          </w:p>
          <w:p w14:paraId="4C24AC5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position w:val="-30"/>
                <w:sz w:val="24"/>
                <w:szCs w:val="24"/>
                <w:highlight w:val="none"/>
                <w14:textFill>
                  <w14:solidFill>
                    <w14:schemeClr w14:val="tx1"/>
                  </w14:solidFill>
                </w14:textFill>
              </w:rPr>
              <w:object>
                <v:shape id="_x0000_i1034" o:spt="75" type="#_x0000_t75" style="height:34pt;width:117pt;" o:ole="t" filled="f" o:preferrelative="t" stroked="f" coordsize="21600,21600">
                  <v:path/>
                  <v:fill on="f" focussize="0,0"/>
                  <v:stroke on="f" joinstyle="miter"/>
                  <v:imagedata r:id="rId37" o:title=""/>
                  <o:lock v:ext="edit" aspectratio="t"/>
                  <w10:wrap type="none"/>
                  <w10:anchorlock/>
                </v:shape>
                <o:OLEObject Type="Embed" ProgID="Equation.KSEE3" ShapeID="_x0000_i1034" DrawAspect="Content" ObjectID="_1468075734" r:id="rId36">
                  <o:LockedField>false</o:LockedField>
                </o:OLEObject>
              </w:object>
            </w:r>
          </w:p>
          <w:p w14:paraId="5461C4F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式中：L</w:t>
            </w:r>
            <w:r>
              <w:rPr>
                <w:rFonts w:hint="eastAsia"/>
                <w:color w:val="000000" w:themeColor="text1"/>
                <w:sz w:val="24"/>
                <w:szCs w:val="24"/>
                <w:highlight w:val="none"/>
                <w:vertAlign w:val="subscript"/>
                <w14:textFill>
                  <w14:solidFill>
                    <w14:schemeClr w14:val="tx1"/>
                  </w14:solidFill>
                </w14:textFill>
              </w:rPr>
              <w:t>A（r）</w:t>
            </w:r>
            <w:r>
              <w:rPr>
                <w:rFonts w:hint="eastAsia"/>
                <w:color w:val="000000" w:themeColor="text1"/>
                <w:sz w:val="24"/>
                <w:szCs w:val="24"/>
                <w:highlight w:val="none"/>
                <w14:textFill>
                  <w14:solidFill>
                    <w14:schemeClr w14:val="tx1"/>
                  </w14:solidFill>
                </w14:textFill>
              </w:rPr>
              <w:t>——距声源r处的声级值，dB；</w:t>
            </w:r>
          </w:p>
          <w:p w14:paraId="11E2773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L</w:t>
            </w:r>
            <w:r>
              <w:rPr>
                <w:rFonts w:hint="eastAsia"/>
                <w:color w:val="000000" w:themeColor="text1"/>
                <w:sz w:val="24"/>
                <w:szCs w:val="24"/>
                <w:highlight w:val="none"/>
                <w:vertAlign w:val="subscript"/>
                <w14:textFill>
                  <w14:solidFill>
                    <w14:schemeClr w14:val="tx1"/>
                  </w14:solidFill>
                </w14:textFill>
              </w:rPr>
              <w:t>A（r0）</w:t>
            </w:r>
            <w:r>
              <w:rPr>
                <w:rFonts w:hint="eastAsia"/>
                <w:color w:val="000000" w:themeColor="text1"/>
                <w:sz w:val="24"/>
                <w:szCs w:val="24"/>
                <w:highlight w:val="none"/>
                <w14:textFill>
                  <w14:solidFill>
                    <w14:schemeClr w14:val="tx1"/>
                  </w14:solidFill>
                </w14:textFill>
              </w:rPr>
              <w:t>——距声源r</w:t>
            </w:r>
            <w:r>
              <w:rPr>
                <w:rFonts w:hint="eastAsia"/>
                <w:color w:val="000000" w:themeColor="text1"/>
                <w:sz w:val="24"/>
                <w:szCs w:val="24"/>
                <w:highlight w:val="none"/>
                <w:vertAlign w:val="subscript"/>
                <w14:textFill>
                  <w14:solidFill>
                    <w14:schemeClr w14:val="tx1"/>
                  </w14:solidFill>
                </w14:textFill>
              </w:rPr>
              <w:t>0</w:t>
            </w:r>
            <w:r>
              <w:rPr>
                <w:rFonts w:hint="eastAsia"/>
                <w:color w:val="000000" w:themeColor="text1"/>
                <w:sz w:val="24"/>
                <w:szCs w:val="24"/>
                <w:highlight w:val="none"/>
                <w14:textFill>
                  <w14:solidFill>
                    <w14:schemeClr w14:val="tx1"/>
                  </w14:solidFill>
                </w14:textFill>
              </w:rPr>
              <w:t>处的声级值，dB；</w:t>
            </w:r>
          </w:p>
          <w:p w14:paraId="20A4FD1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r，r</w:t>
            </w:r>
            <w:r>
              <w:rPr>
                <w:rFonts w:hint="eastAsia"/>
                <w:color w:val="000000" w:themeColor="text1"/>
                <w:sz w:val="24"/>
                <w:szCs w:val="24"/>
                <w:highlight w:val="none"/>
                <w:vertAlign w:val="subscript"/>
                <w14:textFill>
                  <w14:solidFill>
                    <w14:schemeClr w14:val="tx1"/>
                  </w14:solidFill>
                </w14:textFill>
              </w:rPr>
              <w:t>0</w:t>
            </w:r>
            <w:r>
              <w:rPr>
                <w:rFonts w:hint="eastAsia"/>
                <w:color w:val="000000" w:themeColor="text1"/>
                <w:sz w:val="24"/>
                <w:szCs w:val="24"/>
                <w:highlight w:val="none"/>
                <w14:textFill>
                  <w14:solidFill>
                    <w14:schemeClr w14:val="tx1"/>
                  </w14:solidFill>
                </w14:textFill>
              </w:rPr>
              <w:t>——为预测点距声源的距离，m。</w:t>
            </w:r>
          </w:p>
          <w:p w14:paraId="258157B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②多源叠加模式</w:t>
            </w:r>
          </w:p>
          <w:p w14:paraId="0B68B7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对于任何一个预测点，其总噪声效应是多个叠加声级（即各声源分别在该点的贡献值和本底噪声值）的能量总和，其计算式如下：</w:t>
            </w:r>
          </w:p>
          <w:p w14:paraId="09D445B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olor w:val="000000" w:themeColor="text1"/>
                <w:position w:val="-14"/>
                <w:sz w:val="24"/>
                <w:szCs w:val="24"/>
                <w:highlight w:val="none"/>
                <w14:textFill>
                  <w14:solidFill>
                    <w14:schemeClr w14:val="tx1"/>
                  </w14:solidFill>
                </w14:textFill>
              </w:rPr>
              <w:object>
                <v:shape id="_x0000_i1035" o:spt="75" type="#_x0000_t75" style="height:20pt;width:96pt;" o:ole="t" filled="f" o:preferrelative="t" stroked="f" coordsize="21600,21600">
                  <v:path/>
                  <v:fill on="f" focussize="0,0"/>
                  <v:stroke on="f" joinstyle="miter"/>
                  <v:imagedata r:id="rId39" o:title=""/>
                  <o:lock v:ext="edit" aspectratio="t"/>
                  <w10:wrap type="none"/>
                  <w10:anchorlock/>
                </v:shape>
                <o:OLEObject Type="Embed" ProgID="Equation.KSEE3" ShapeID="_x0000_i1035" DrawAspect="Content" ObjectID="_1468075735" r:id="rId38">
                  <o:LockedField>false</o:LockedField>
                </o:OLEObject>
              </w:object>
            </w:r>
          </w:p>
          <w:p w14:paraId="37958D2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式中：L——某点噪声总叠加值，dB（A）；</w:t>
            </w:r>
          </w:p>
          <w:p w14:paraId="1D291DA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1200" w:firstLineChars="5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L</w:t>
            </w:r>
            <w:r>
              <w:rPr>
                <w:rFonts w:hint="eastAsia"/>
                <w:color w:val="000000" w:themeColor="text1"/>
                <w:sz w:val="24"/>
                <w:szCs w:val="24"/>
                <w:highlight w:val="none"/>
                <w:vertAlign w:val="subscript"/>
                <w14:textFill>
                  <w14:solidFill>
                    <w14:schemeClr w14:val="tx1"/>
                  </w14:solidFill>
                </w14:textFill>
              </w:rPr>
              <w:t>i</w:t>
            </w:r>
            <w:r>
              <w:rPr>
                <w:rFonts w:hint="eastAsia"/>
                <w:color w:val="000000" w:themeColor="text1"/>
                <w:sz w:val="24"/>
                <w:szCs w:val="24"/>
                <w:highlight w:val="none"/>
                <w14:textFill>
                  <w14:solidFill>
                    <w14:schemeClr w14:val="tx1"/>
                  </w14:solidFill>
                </w14:textFill>
              </w:rPr>
              <w:t>——第i个声源的噪声值，dB（A）。</w:t>
            </w:r>
          </w:p>
          <w:p w14:paraId="66629DE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（2）厂界预测结果</w:t>
            </w:r>
          </w:p>
          <w:p w14:paraId="2458F55F">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b/>
                <w:bCs/>
                <w:color w:val="000000" w:themeColor="text1"/>
                <w:szCs w:val="21"/>
                <w:highlight w:val="none"/>
                <w14:textFill>
                  <w14:solidFill>
                    <w14:schemeClr w14:val="tx1"/>
                  </w14:solidFill>
                </w14:textFill>
              </w:rPr>
            </w:pPr>
            <w:r>
              <w:rPr>
                <w:b/>
                <w:bCs/>
                <w:color w:val="000000" w:themeColor="text1"/>
                <w:szCs w:val="21"/>
                <w:highlight w:val="none"/>
                <w14:textFill>
                  <w14:solidFill>
                    <w14:schemeClr w14:val="tx1"/>
                  </w14:solidFill>
                </w14:textFill>
              </w:rPr>
              <w:t>表</w:t>
            </w:r>
            <w:r>
              <w:rPr>
                <w:rFonts w:hint="eastAsia"/>
                <w:b/>
                <w:bCs/>
                <w:color w:val="000000" w:themeColor="text1"/>
                <w:szCs w:val="21"/>
                <w:highlight w:val="none"/>
                <w14:textFill>
                  <w14:solidFill>
                    <w14:schemeClr w14:val="tx1"/>
                  </w14:solidFill>
                </w14:textFill>
              </w:rPr>
              <w:t>4-</w:t>
            </w:r>
            <w:r>
              <w:rPr>
                <w:rFonts w:hint="eastAsia"/>
                <w:b/>
                <w:bCs/>
                <w:color w:val="000000" w:themeColor="text1"/>
                <w:szCs w:val="21"/>
                <w:highlight w:val="none"/>
                <w:lang w:val="en-US" w:eastAsia="zh-CN"/>
                <w14:textFill>
                  <w14:solidFill>
                    <w14:schemeClr w14:val="tx1"/>
                  </w14:solidFill>
                </w14:textFill>
              </w:rPr>
              <w:t>12</w:t>
            </w:r>
            <w:r>
              <w:rPr>
                <w:rFonts w:hint="eastAsia"/>
                <w:b/>
                <w:bCs/>
                <w:color w:val="000000" w:themeColor="text1"/>
                <w:szCs w:val="21"/>
                <w:highlight w:val="none"/>
                <w14:textFill>
                  <w14:solidFill>
                    <w14:schemeClr w14:val="tx1"/>
                  </w14:solidFill>
                </w14:textFill>
              </w:rPr>
              <w:t xml:space="preserve">     项目厂界四周噪声预测结果</w:t>
            </w:r>
          </w:p>
          <w:tbl>
            <w:tblPr>
              <w:tblStyle w:val="20"/>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466"/>
              <w:gridCol w:w="1253"/>
              <w:gridCol w:w="520"/>
              <w:gridCol w:w="521"/>
              <w:gridCol w:w="573"/>
              <w:gridCol w:w="695"/>
              <w:gridCol w:w="561"/>
              <w:gridCol w:w="722"/>
              <w:gridCol w:w="578"/>
              <w:gridCol w:w="738"/>
              <w:gridCol w:w="577"/>
              <w:gridCol w:w="738"/>
            </w:tblGrid>
            <w:tr w14:paraId="2E3B689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tblHeader/>
                <w:jc w:val="center"/>
              </w:trPr>
              <w:tc>
                <w:tcPr>
                  <w:tcW w:w="466" w:type="dxa"/>
                  <w:vMerge w:val="restart"/>
                  <w:noWrap w:val="0"/>
                  <w:vAlign w:val="center"/>
                </w:tcPr>
                <w:p w14:paraId="2FB6D71F">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序号</w:t>
                  </w:r>
                </w:p>
              </w:tc>
              <w:tc>
                <w:tcPr>
                  <w:tcW w:w="1253" w:type="dxa"/>
                  <w:vMerge w:val="restart"/>
                  <w:noWrap w:val="0"/>
                  <w:vAlign w:val="center"/>
                </w:tcPr>
                <w:p w14:paraId="2B3BF854">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噪声源</w:t>
                  </w:r>
                </w:p>
              </w:tc>
              <w:tc>
                <w:tcPr>
                  <w:tcW w:w="520" w:type="dxa"/>
                  <w:vMerge w:val="restart"/>
                  <w:noWrap w:val="0"/>
                  <w:vAlign w:val="center"/>
                </w:tcPr>
                <w:p w14:paraId="0BE935A3">
                  <w:pPr>
                    <w:adjustRightInd w:val="0"/>
                    <w:snapToGrid w:val="0"/>
                    <w:jc w:val="cente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数量</w:t>
                  </w:r>
                </w:p>
              </w:tc>
              <w:tc>
                <w:tcPr>
                  <w:tcW w:w="521" w:type="dxa"/>
                  <w:vMerge w:val="restart"/>
                  <w:noWrap w:val="0"/>
                  <w:vAlign w:val="center"/>
                </w:tcPr>
                <w:p w14:paraId="5F8D1214">
                  <w:pPr>
                    <w:adjustRightInd w:val="0"/>
                    <w:snapToGrid w:val="0"/>
                    <w:jc w:val="center"/>
                    <w:rPr>
                      <w:rFonts w:hint="default" w:ascii="Times New Roman" w:hAnsi="Times New Roman" w:eastAsia="宋体" w:cs="Times New Roman"/>
                      <w:b w:val="0"/>
                      <w:bCs/>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源强</w:t>
                  </w:r>
                </w:p>
              </w:tc>
              <w:tc>
                <w:tcPr>
                  <w:tcW w:w="1268" w:type="dxa"/>
                  <w:gridSpan w:val="2"/>
                  <w:noWrap w:val="0"/>
                  <w:vAlign w:val="center"/>
                </w:tcPr>
                <w:p w14:paraId="54737F76">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东厂界（m）</w:t>
                  </w:r>
                </w:p>
              </w:tc>
              <w:tc>
                <w:tcPr>
                  <w:tcW w:w="1283" w:type="dxa"/>
                  <w:gridSpan w:val="2"/>
                  <w:noWrap w:val="0"/>
                  <w:vAlign w:val="center"/>
                </w:tcPr>
                <w:p w14:paraId="23A07DA8">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南厂界（m）</w:t>
                  </w:r>
                </w:p>
              </w:tc>
              <w:tc>
                <w:tcPr>
                  <w:tcW w:w="1316" w:type="dxa"/>
                  <w:gridSpan w:val="2"/>
                  <w:noWrap w:val="0"/>
                  <w:vAlign w:val="center"/>
                </w:tcPr>
                <w:p w14:paraId="05E618B7">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西</w:t>
                  </w:r>
                  <w:r>
                    <w:rPr>
                      <w:rFonts w:hint="default" w:ascii="Times New Roman" w:hAnsi="Times New Roman" w:eastAsia="宋体" w:cs="Times New Roman"/>
                      <w:b/>
                      <w:color w:val="000000" w:themeColor="text1"/>
                      <w:kern w:val="28"/>
                      <w:szCs w:val="21"/>
                      <w:highlight w:val="none"/>
                      <w14:textFill>
                        <w14:solidFill>
                          <w14:schemeClr w14:val="tx1"/>
                        </w14:solidFill>
                      </w14:textFill>
                    </w:rPr>
                    <w:t>厂界（m）</w:t>
                  </w:r>
                </w:p>
              </w:tc>
              <w:tc>
                <w:tcPr>
                  <w:tcW w:w="1315" w:type="dxa"/>
                  <w:gridSpan w:val="2"/>
                  <w:noWrap w:val="0"/>
                  <w:vAlign w:val="center"/>
                </w:tcPr>
                <w:p w14:paraId="5F2D8287">
                  <w:pPr>
                    <w:adjustRightInd w:val="0"/>
                    <w:snapToGrid w:val="0"/>
                    <w:jc w:val="cente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pPr>
                  <w:r>
                    <w:rPr>
                      <w:rFonts w:hint="eastAsia" w:ascii="Times New Roman" w:hAnsi="Times New Roman" w:eastAsia="宋体" w:cs="Times New Roman"/>
                      <w:b/>
                      <w:color w:val="000000" w:themeColor="text1"/>
                      <w:kern w:val="28"/>
                      <w:szCs w:val="21"/>
                      <w:highlight w:val="none"/>
                      <w:lang w:eastAsia="zh-CN"/>
                      <w14:textFill>
                        <w14:solidFill>
                          <w14:schemeClr w14:val="tx1"/>
                        </w14:solidFill>
                      </w14:textFill>
                    </w:rPr>
                    <w:t>北</w:t>
                  </w:r>
                  <w:r>
                    <w:rPr>
                      <w:rFonts w:hint="default" w:ascii="Times New Roman" w:hAnsi="Times New Roman" w:eastAsia="宋体" w:cs="Times New Roman"/>
                      <w:b/>
                      <w:color w:val="000000" w:themeColor="text1"/>
                      <w:kern w:val="28"/>
                      <w:szCs w:val="21"/>
                      <w:highlight w:val="none"/>
                      <w14:textFill>
                        <w14:solidFill>
                          <w14:schemeClr w14:val="tx1"/>
                        </w14:solidFill>
                      </w14:textFill>
                    </w:rPr>
                    <w:t>厂界（m）</w:t>
                  </w:r>
                </w:p>
              </w:tc>
            </w:tr>
            <w:tr w14:paraId="23ED6CB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tblHeader/>
                <w:jc w:val="center"/>
              </w:trPr>
              <w:tc>
                <w:tcPr>
                  <w:tcW w:w="466" w:type="dxa"/>
                  <w:vMerge w:val="continue"/>
                  <w:noWrap w:val="0"/>
                  <w:vAlign w:val="center"/>
                </w:tcPr>
                <w:p w14:paraId="77EE8A54">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1253" w:type="dxa"/>
                  <w:vMerge w:val="continue"/>
                  <w:noWrap w:val="0"/>
                  <w:vAlign w:val="center"/>
                </w:tcPr>
                <w:p w14:paraId="7D23CDAA">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520" w:type="dxa"/>
                  <w:vMerge w:val="continue"/>
                  <w:noWrap w:val="0"/>
                  <w:vAlign w:val="center"/>
                </w:tcPr>
                <w:p w14:paraId="3BA16CA7">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521" w:type="dxa"/>
                  <w:vMerge w:val="continue"/>
                  <w:noWrap w:val="0"/>
                  <w:vAlign w:val="center"/>
                </w:tcPr>
                <w:p w14:paraId="2D0BD625">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p>
              </w:tc>
              <w:tc>
                <w:tcPr>
                  <w:tcW w:w="573" w:type="dxa"/>
                  <w:noWrap w:val="0"/>
                  <w:vAlign w:val="center"/>
                </w:tcPr>
                <w:p w14:paraId="1B0C3786">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695" w:type="dxa"/>
                  <w:noWrap w:val="0"/>
                  <w:vAlign w:val="center"/>
                </w:tcPr>
                <w:p w14:paraId="2444E2B8">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561" w:type="dxa"/>
                  <w:noWrap w:val="0"/>
                  <w:vAlign w:val="center"/>
                </w:tcPr>
                <w:p w14:paraId="71219722">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722" w:type="dxa"/>
                  <w:noWrap w:val="0"/>
                  <w:vAlign w:val="center"/>
                </w:tcPr>
                <w:p w14:paraId="0200C3E3">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578" w:type="dxa"/>
                  <w:noWrap w:val="0"/>
                  <w:vAlign w:val="center"/>
                </w:tcPr>
                <w:p w14:paraId="00D3BD0D">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738" w:type="dxa"/>
                  <w:noWrap w:val="0"/>
                  <w:vAlign w:val="center"/>
                </w:tcPr>
                <w:p w14:paraId="2DB6E42B">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c>
                <w:tcPr>
                  <w:tcW w:w="577" w:type="dxa"/>
                  <w:noWrap w:val="0"/>
                  <w:vAlign w:val="center"/>
                </w:tcPr>
                <w:p w14:paraId="2A075CE8">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距离</w:t>
                  </w:r>
                </w:p>
              </w:tc>
              <w:tc>
                <w:tcPr>
                  <w:tcW w:w="738" w:type="dxa"/>
                  <w:noWrap w:val="0"/>
                  <w:vAlign w:val="center"/>
                </w:tcPr>
                <w:p w14:paraId="7930A8AE">
                  <w:pPr>
                    <w:adjustRightInd w:val="0"/>
                    <w:snapToGrid w:val="0"/>
                    <w:jc w:val="center"/>
                    <w:rPr>
                      <w:rFonts w:hint="default" w:ascii="Times New Roman" w:hAnsi="Times New Roman" w:eastAsia="宋体" w:cs="Times New Roman"/>
                      <w:b/>
                      <w:color w:val="000000" w:themeColor="text1"/>
                      <w:kern w:val="28"/>
                      <w:szCs w:val="21"/>
                      <w:highlight w:val="none"/>
                      <w14:textFill>
                        <w14:solidFill>
                          <w14:schemeClr w14:val="tx1"/>
                        </w14:solidFill>
                      </w14:textFill>
                    </w:rPr>
                  </w:pPr>
                  <w:r>
                    <w:rPr>
                      <w:rFonts w:hint="default" w:ascii="Times New Roman" w:hAnsi="Times New Roman" w:eastAsia="宋体" w:cs="Times New Roman"/>
                      <w:b/>
                      <w:color w:val="000000" w:themeColor="text1"/>
                      <w:kern w:val="28"/>
                      <w:szCs w:val="21"/>
                      <w:highlight w:val="none"/>
                      <w14:textFill>
                        <w14:solidFill>
                          <w14:schemeClr w14:val="tx1"/>
                        </w14:solidFill>
                      </w14:textFill>
                    </w:rPr>
                    <w:t>贡献值</w:t>
                  </w:r>
                </w:p>
              </w:tc>
            </w:tr>
            <w:tr w14:paraId="0E24CED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20E0139E">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w:t>
                  </w:r>
                </w:p>
              </w:tc>
              <w:tc>
                <w:tcPr>
                  <w:tcW w:w="1253" w:type="dxa"/>
                  <w:noWrap w:val="0"/>
                  <w:vAlign w:val="center"/>
                </w:tcPr>
                <w:p w14:paraId="50965A21">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颚式破碎机</w:t>
                  </w:r>
                </w:p>
              </w:tc>
              <w:tc>
                <w:tcPr>
                  <w:tcW w:w="520" w:type="dxa"/>
                  <w:noWrap w:val="0"/>
                  <w:vAlign w:val="center"/>
                </w:tcPr>
                <w:p w14:paraId="70D88B88">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521" w:type="dxa"/>
                  <w:noWrap w:val="0"/>
                  <w:vAlign w:val="center"/>
                </w:tcPr>
                <w:p w14:paraId="426D0E3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95</w:t>
                  </w:r>
                </w:p>
              </w:tc>
              <w:tc>
                <w:tcPr>
                  <w:tcW w:w="573" w:type="dxa"/>
                  <w:noWrap w:val="0"/>
                  <w:vAlign w:val="center"/>
                </w:tcPr>
                <w:p w14:paraId="63ADB40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179</w:t>
                  </w:r>
                </w:p>
              </w:tc>
              <w:tc>
                <w:tcPr>
                  <w:tcW w:w="695" w:type="dxa"/>
                  <w:noWrap w:val="0"/>
                  <w:vAlign w:val="center"/>
                </w:tcPr>
                <w:p w14:paraId="53BD912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c>
                <w:tcPr>
                  <w:tcW w:w="561" w:type="dxa"/>
                  <w:noWrap w:val="0"/>
                  <w:vAlign w:val="center"/>
                </w:tcPr>
                <w:p w14:paraId="2EE2C12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175</w:t>
                  </w:r>
                </w:p>
              </w:tc>
              <w:tc>
                <w:tcPr>
                  <w:tcW w:w="722" w:type="dxa"/>
                  <w:noWrap w:val="0"/>
                  <w:vAlign w:val="center"/>
                </w:tcPr>
                <w:p w14:paraId="470CDAE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c>
                <w:tcPr>
                  <w:tcW w:w="578" w:type="dxa"/>
                  <w:noWrap w:val="0"/>
                  <w:vAlign w:val="center"/>
                </w:tcPr>
                <w:p w14:paraId="75EEFDA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w:t>
                  </w:r>
                </w:p>
              </w:tc>
              <w:tc>
                <w:tcPr>
                  <w:tcW w:w="738" w:type="dxa"/>
                  <w:noWrap w:val="0"/>
                  <w:vAlign w:val="center"/>
                </w:tcPr>
                <w:p w14:paraId="1758CCC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55</w:t>
                  </w:r>
                </w:p>
              </w:tc>
              <w:tc>
                <w:tcPr>
                  <w:tcW w:w="577" w:type="dxa"/>
                  <w:noWrap w:val="0"/>
                  <w:vAlign w:val="center"/>
                </w:tcPr>
                <w:p w14:paraId="2CD014C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78</w:t>
                  </w:r>
                </w:p>
              </w:tc>
              <w:tc>
                <w:tcPr>
                  <w:tcW w:w="738" w:type="dxa"/>
                  <w:noWrap w:val="0"/>
                  <w:vAlign w:val="center"/>
                </w:tcPr>
                <w:p w14:paraId="1DC4491A">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37</w:t>
                  </w:r>
                </w:p>
              </w:tc>
            </w:tr>
            <w:tr w14:paraId="6BFD34C0">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67774727">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w:t>
                  </w:r>
                </w:p>
              </w:tc>
              <w:tc>
                <w:tcPr>
                  <w:tcW w:w="1253" w:type="dxa"/>
                  <w:noWrap w:val="0"/>
                  <w:vAlign w:val="center"/>
                </w:tcPr>
                <w:p w14:paraId="01A68CB1">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反击</w:t>
                  </w:r>
                  <w:r>
                    <w:rPr>
                      <w:rFonts w:ascii="Times New Roman" w:hAnsi="Times New Roman" w:eastAsia="宋体"/>
                      <w:color w:val="000000" w:themeColor="text1"/>
                      <w:szCs w:val="21"/>
                      <w:highlight w:val="none"/>
                      <w14:textFill>
                        <w14:solidFill>
                          <w14:schemeClr w14:val="tx1"/>
                        </w14:solidFill>
                      </w14:textFill>
                    </w:rPr>
                    <w:t>破碎机</w:t>
                  </w:r>
                </w:p>
              </w:tc>
              <w:tc>
                <w:tcPr>
                  <w:tcW w:w="520" w:type="dxa"/>
                  <w:noWrap w:val="0"/>
                  <w:vAlign w:val="center"/>
                </w:tcPr>
                <w:p w14:paraId="092416D3">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2</w:t>
                  </w:r>
                </w:p>
              </w:tc>
              <w:tc>
                <w:tcPr>
                  <w:tcW w:w="521" w:type="dxa"/>
                  <w:noWrap w:val="0"/>
                  <w:vAlign w:val="center"/>
                </w:tcPr>
                <w:p w14:paraId="3A5E5B3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95</w:t>
                  </w:r>
                </w:p>
              </w:tc>
              <w:tc>
                <w:tcPr>
                  <w:tcW w:w="573" w:type="dxa"/>
                  <w:noWrap w:val="0"/>
                  <w:vAlign w:val="center"/>
                </w:tcPr>
                <w:p w14:paraId="6D65D40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164</w:t>
                  </w:r>
                </w:p>
              </w:tc>
              <w:tc>
                <w:tcPr>
                  <w:tcW w:w="695" w:type="dxa"/>
                  <w:noWrap w:val="0"/>
                  <w:vAlign w:val="center"/>
                </w:tcPr>
                <w:p w14:paraId="115DC5C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34</w:t>
                  </w:r>
                </w:p>
              </w:tc>
              <w:tc>
                <w:tcPr>
                  <w:tcW w:w="561" w:type="dxa"/>
                  <w:noWrap w:val="0"/>
                  <w:vAlign w:val="center"/>
                </w:tcPr>
                <w:p w14:paraId="34B4736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179</w:t>
                  </w:r>
                </w:p>
              </w:tc>
              <w:tc>
                <w:tcPr>
                  <w:tcW w:w="722" w:type="dxa"/>
                  <w:noWrap w:val="0"/>
                  <w:vAlign w:val="center"/>
                </w:tcPr>
                <w:p w14:paraId="6F76CDC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578" w:type="dxa"/>
                  <w:noWrap w:val="0"/>
                  <w:vAlign w:val="center"/>
                </w:tcPr>
                <w:p w14:paraId="78A7143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738" w:type="dxa"/>
                  <w:noWrap w:val="0"/>
                  <w:vAlign w:val="center"/>
                </w:tcPr>
                <w:p w14:paraId="27E2B94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50</w:t>
                  </w:r>
                </w:p>
              </w:tc>
              <w:tc>
                <w:tcPr>
                  <w:tcW w:w="577" w:type="dxa"/>
                  <w:noWrap w:val="0"/>
                  <w:vAlign w:val="center"/>
                </w:tcPr>
                <w:p w14:paraId="247F3CAB">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84</w:t>
                  </w:r>
                </w:p>
              </w:tc>
              <w:tc>
                <w:tcPr>
                  <w:tcW w:w="738" w:type="dxa"/>
                  <w:noWrap w:val="0"/>
                  <w:vAlign w:val="center"/>
                </w:tcPr>
                <w:p w14:paraId="2E854054">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40</w:t>
                  </w:r>
                </w:p>
              </w:tc>
            </w:tr>
            <w:tr w14:paraId="2D09164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329ED80B">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3</w:t>
                  </w:r>
                </w:p>
              </w:tc>
              <w:tc>
                <w:tcPr>
                  <w:tcW w:w="1253" w:type="dxa"/>
                  <w:noWrap w:val="0"/>
                  <w:vAlign w:val="center"/>
                </w:tcPr>
                <w:p w14:paraId="079260C8">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皮</w:t>
                  </w:r>
                  <w:r>
                    <w:rPr>
                      <w:rFonts w:ascii="Times New Roman" w:hAnsi="Times New Roman" w:eastAsia="宋体"/>
                      <w:color w:val="000000" w:themeColor="text1"/>
                      <w:szCs w:val="21"/>
                      <w:highlight w:val="none"/>
                      <w14:textFill>
                        <w14:solidFill>
                          <w14:schemeClr w14:val="tx1"/>
                        </w14:solidFill>
                      </w14:textFill>
                    </w:rPr>
                    <w:t>带输送机</w:t>
                  </w:r>
                </w:p>
              </w:tc>
              <w:tc>
                <w:tcPr>
                  <w:tcW w:w="520" w:type="dxa"/>
                  <w:noWrap w:val="0"/>
                  <w:vAlign w:val="center"/>
                </w:tcPr>
                <w:p w14:paraId="60CB1FE4">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521" w:type="dxa"/>
                  <w:noWrap w:val="0"/>
                  <w:vAlign w:val="center"/>
                </w:tcPr>
                <w:p w14:paraId="08702331">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70</w:t>
                  </w:r>
                </w:p>
              </w:tc>
              <w:tc>
                <w:tcPr>
                  <w:tcW w:w="573" w:type="dxa"/>
                  <w:noWrap w:val="0"/>
                  <w:vAlign w:val="center"/>
                </w:tcPr>
                <w:p w14:paraId="21A883F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173</w:t>
                  </w:r>
                </w:p>
              </w:tc>
              <w:tc>
                <w:tcPr>
                  <w:tcW w:w="695" w:type="dxa"/>
                  <w:noWrap w:val="0"/>
                  <w:vAlign w:val="center"/>
                </w:tcPr>
                <w:p w14:paraId="7641FC2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w:t>
                  </w:r>
                </w:p>
              </w:tc>
              <w:tc>
                <w:tcPr>
                  <w:tcW w:w="561" w:type="dxa"/>
                  <w:noWrap w:val="0"/>
                  <w:vAlign w:val="center"/>
                </w:tcPr>
                <w:p w14:paraId="6A01F28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178</w:t>
                  </w:r>
                </w:p>
              </w:tc>
              <w:tc>
                <w:tcPr>
                  <w:tcW w:w="722" w:type="dxa"/>
                  <w:noWrap w:val="0"/>
                  <w:vAlign w:val="center"/>
                </w:tcPr>
                <w:p w14:paraId="37CE281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w:t>
                  </w:r>
                </w:p>
              </w:tc>
              <w:tc>
                <w:tcPr>
                  <w:tcW w:w="578" w:type="dxa"/>
                  <w:noWrap w:val="0"/>
                  <w:vAlign w:val="center"/>
                </w:tcPr>
                <w:p w14:paraId="3256C13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738" w:type="dxa"/>
                  <w:noWrap w:val="0"/>
                  <w:vAlign w:val="center"/>
                </w:tcPr>
                <w:p w14:paraId="7CFCBBE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77" w:type="dxa"/>
                  <w:noWrap w:val="0"/>
                  <w:vAlign w:val="center"/>
                </w:tcPr>
                <w:p w14:paraId="5E083805">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78</w:t>
                  </w:r>
                </w:p>
              </w:tc>
              <w:tc>
                <w:tcPr>
                  <w:tcW w:w="738" w:type="dxa"/>
                  <w:noWrap w:val="0"/>
                  <w:vAlign w:val="center"/>
                </w:tcPr>
                <w:p w14:paraId="318392C3">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w:t>
                  </w:r>
                </w:p>
              </w:tc>
            </w:tr>
            <w:tr w14:paraId="5F2FE7A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0E8D09FE">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4</w:t>
                  </w:r>
                </w:p>
              </w:tc>
              <w:tc>
                <w:tcPr>
                  <w:tcW w:w="1253" w:type="dxa"/>
                  <w:noWrap w:val="0"/>
                  <w:vAlign w:val="center"/>
                </w:tcPr>
                <w:p w14:paraId="015D39AA">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振动筛</w:t>
                  </w:r>
                </w:p>
              </w:tc>
              <w:tc>
                <w:tcPr>
                  <w:tcW w:w="520" w:type="dxa"/>
                  <w:noWrap w:val="0"/>
                  <w:vAlign w:val="center"/>
                </w:tcPr>
                <w:p w14:paraId="3335E3FA">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521" w:type="dxa"/>
                  <w:noWrap w:val="0"/>
                  <w:vAlign w:val="center"/>
                </w:tcPr>
                <w:p w14:paraId="0F5B583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75</w:t>
                  </w:r>
                </w:p>
              </w:tc>
              <w:tc>
                <w:tcPr>
                  <w:tcW w:w="573" w:type="dxa"/>
                  <w:noWrap w:val="0"/>
                  <w:vAlign w:val="center"/>
                </w:tcPr>
                <w:p w14:paraId="788762C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169</w:t>
                  </w:r>
                </w:p>
              </w:tc>
              <w:tc>
                <w:tcPr>
                  <w:tcW w:w="695" w:type="dxa"/>
                  <w:noWrap w:val="0"/>
                  <w:vAlign w:val="center"/>
                </w:tcPr>
                <w:p w14:paraId="4291594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w:t>
                  </w:r>
                </w:p>
              </w:tc>
              <w:tc>
                <w:tcPr>
                  <w:tcW w:w="561" w:type="dxa"/>
                  <w:noWrap w:val="0"/>
                  <w:vAlign w:val="center"/>
                </w:tcPr>
                <w:p w14:paraId="2E79A89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175</w:t>
                  </w:r>
                </w:p>
              </w:tc>
              <w:tc>
                <w:tcPr>
                  <w:tcW w:w="722" w:type="dxa"/>
                  <w:noWrap w:val="0"/>
                  <w:vAlign w:val="center"/>
                </w:tcPr>
                <w:p w14:paraId="35FD432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w:t>
                  </w:r>
                </w:p>
              </w:tc>
              <w:tc>
                <w:tcPr>
                  <w:tcW w:w="578" w:type="dxa"/>
                  <w:noWrap w:val="0"/>
                  <w:vAlign w:val="center"/>
                </w:tcPr>
                <w:p w14:paraId="7EA58D9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738" w:type="dxa"/>
                  <w:noWrap w:val="0"/>
                  <w:vAlign w:val="center"/>
                </w:tcPr>
                <w:p w14:paraId="537E7E9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7" w:type="dxa"/>
                  <w:noWrap w:val="0"/>
                  <w:vAlign w:val="center"/>
                </w:tcPr>
                <w:p w14:paraId="655DA693">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75</w:t>
                  </w:r>
                </w:p>
              </w:tc>
              <w:tc>
                <w:tcPr>
                  <w:tcW w:w="738" w:type="dxa"/>
                  <w:noWrap w:val="0"/>
                  <w:vAlign w:val="center"/>
                </w:tcPr>
                <w:p w14:paraId="783E1AA9">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r>
            <w:tr w14:paraId="36E0F32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7266B2A8">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5</w:t>
                  </w:r>
                </w:p>
              </w:tc>
              <w:tc>
                <w:tcPr>
                  <w:tcW w:w="1253" w:type="dxa"/>
                  <w:noWrap w:val="0"/>
                  <w:vAlign w:val="center"/>
                </w:tcPr>
                <w:p w14:paraId="2CEC34A5">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装载机</w:t>
                  </w:r>
                </w:p>
              </w:tc>
              <w:tc>
                <w:tcPr>
                  <w:tcW w:w="520" w:type="dxa"/>
                  <w:noWrap w:val="0"/>
                  <w:vAlign w:val="center"/>
                </w:tcPr>
                <w:p w14:paraId="7B6F1B47">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1</w:t>
                  </w:r>
                </w:p>
              </w:tc>
              <w:tc>
                <w:tcPr>
                  <w:tcW w:w="521" w:type="dxa"/>
                  <w:noWrap w:val="0"/>
                  <w:vAlign w:val="center"/>
                </w:tcPr>
                <w:p w14:paraId="7B5D5B8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682CDCA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168</w:t>
                  </w:r>
                </w:p>
              </w:tc>
              <w:tc>
                <w:tcPr>
                  <w:tcW w:w="695" w:type="dxa"/>
                  <w:noWrap w:val="0"/>
                  <w:vAlign w:val="center"/>
                </w:tcPr>
                <w:p w14:paraId="21E1FAC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561" w:type="dxa"/>
                  <w:noWrap w:val="0"/>
                  <w:vAlign w:val="center"/>
                </w:tcPr>
                <w:p w14:paraId="3F16431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184</w:t>
                  </w:r>
                </w:p>
              </w:tc>
              <w:tc>
                <w:tcPr>
                  <w:tcW w:w="722" w:type="dxa"/>
                  <w:noWrap w:val="0"/>
                  <w:vAlign w:val="center"/>
                </w:tcPr>
                <w:p w14:paraId="4899BF3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578" w:type="dxa"/>
                  <w:noWrap w:val="0"/>
                  <w:vAlign w:val="center"/>
                </w:tcPr>
                <w:p w14:paraId="663BA4A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c>
                <w:tcPr>
                  <w:tcW w:w="738" w:type="dxa"/>
                  <w:noWrap w:val="0"/>
                  <w:vAlign w:val="center"/>
                </w:tcPr>
                <w:p w14:paraId="0DC2FBE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38</w:t>
                  </w:r>
                </w:p>
              </w:tc>
              <w:tc>
                <w:tcPr>
                  <w:tcW w:w="577" w:type="dxa"/>
                  <w:noWrap w:val="0"/>
                  <w:vAlign w:val="center"/>
                </w:tcPr>
                <w:p w14:paraId="29F4E3FC">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81</w:t>
                  </w:r>
                </w:p>
              </w:tc>
              <w:tc>
                <w:tcPr>
                  <w:tcW w:w="738" w:type="dxa"/>
                  <w:noWrap w:val="0"/>
                  <w:vAlign w:val="center"/>
                </w:tcPr>
                <w:p w14:paraId="12E4A501">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r>
            <w:tr w14:paraId="63DC2FC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16959892">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6</w:t>
                  </w:r>
                </w:p>
              </w:tc>
              <w:tc>
                <w:tcPr>
                  <w:tcW w:w="1253" w:type="dxa"/>
                  <w:noWrap w:val="0"/>
                  <w:vAlign w:val="center"/>
                </w:tcPr>
                <w:p w14:paraId="0CD38BA0">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自卸汽车</w:t>
                  </w:r>
                </w:p>
              </w:tc>
              <w:tc>
                <w:tcPr>
                  <w:tcW w:w="520" w:type="dxa"/>
                  <w:noWrap w:val="0"/>
                  <w:vAlign w:val="center"/>
                </w:tcPr>
                <w:p w14:paraId="4724B5C9">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w:t>
                  </w:r>
                </w:p>
              </w:tc>
              <w:tc>
                <w:tcPr>
                  <w:tcW w:w="521" w:type="dxa"/>
                  <w:noWrap w:val="0"/>
                  <w:vAlign w:val="center"/>
                </w:tcPr>
                <w:p w14:paraId="5A4E8A1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772AE3A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160</w:t>
                  </w:r>
                </w:p>
              </w:tc>
              <w:tc>
                <w:tcPr>
                  <w:tcW w:w="695" w:type="dxa"/>
                  <w:noWrap w:val="0"/>
                  <w:vAlign w:val="center"/>
                </w:tcPr>
                <w:p w14:paraId="0573686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31</w:t>
                  </w:r>
                </w:p>
              </w:tc>
              <w:tc>
                <w:tcPr>
                  <w:tcW w:w="561" w:type="dxa"/>
                  <w:noWrap w:val="0"/>
                  <w:vAlign w:val="center"/>
                </w:tcPr>
                <w:p w14:paraId="107C2F2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182</w:t>
                  </w:r>
                </w:p>
              </w:tc>
              <w:tc>
                <w:tcPr>
                  <w:tcW w:w="722" w:type="dxa"/>
                  <w:noWrap w:val="0"/>
                  <w:vAlign w:val="center"/>
                </w:tcPr>
                <w:p w14:paraId="27912F7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30</w:t>
                  </w:r>
                </w:p>
              </w:tc>
              <w:tc>
                <w:tcPr>
                  <w:tcW w:w="578" w:type="dxa"/>
                  <w:noWrap w:val="0"/>
                  <w:vAlign w:val="center"/>
                </w:tcPr>
                <w:p w14:paraId="2634833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738" w:type="dxa"/>
                  <w:noWrap w:val="0"/>
                  <w:vAlign w:val="center"/>
                </w:tcPr>
                <w:p w14:paraId="6C71EE5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45</w:t>
                  </w:r>
                </w:p>
              </w:tc>
              <w:tc>
                <w:tcPr>
                  <w:tcW w:w="577" w:type="dxa"/>
                  <w:noWrap w:val="0"/>
                  <w:vAlign w:val="center"/>
                </w:tcPr>
                <w:p w14:paraId="32829150">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72</w:t>
                  </w:r>
                </w:p>
              </w:tc>
              <w:tc>
                <w:tcPr>
                  <w:tcW w:w="738" w:type="dxa"/>
                  <w:noWrap w:val="0"/>
                  <w:vAlign w:val="center"/>
                </w:tcPr>
                <w:p w14:paraId="56070852">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38</w:t>
                  </w:r>
                </w:p>
              </w:tc>
            </w:tr>
            <w:tr w14:paraId="0AE4C24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2CC14BA8">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7</w:t>
                  </w:r>
                </w:p>
              </w:tc>
              <w:tc>
                <w:tcPr>
                  <w:tcW w:w="1253" w:type="dxa"/>
                  <w:noWrap w:val="0"/>
                  <w:vAlign w:val="center"/>
                </w:tcPr>
                <w:p w14:paraId="00BD3B18">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拌和楼</w:t>
                  </w:r>
                </w:p>
              </w:tc>
              <w:tc>
                <w:tcPr>
                  <w:tcW w:w="520" w:type="dxa"/>
                  <w:noWrap w:val="0"/>
                  <w:vAlign w:val="center"/>
                </w:tcPr>
                <w:p w14:paraId="3E4FF11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4F96CE3D">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000BC8F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120</w:t>
                  </w:r>
                </w:p>
              </w:tc>
              <w:tc>
                <w:tcPr>
                  <w:tcW w:w="695" w:type="dxa"/>
                  <w:noWrap w:val="0"/>
                  <w:vAlign w:val="center"/>
                </w:tcPr>
                <w:p w14:paraId="3A9F638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61" w:type="dxa"/>
                  <w:noWrap w:val="0"/>
                  <w:vAlign w:val="center"/>
                </w:tcPr>
                <w:p w14:paraId="4C576AB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131</w:t>
                  </w:r>
                </w:p>
              </w:tc>
              <w:tc>
                <w:tcPr>
                  <w:tcW w:w="722" w:type="dxa"/>
                  <w:noWrap w:val="0"/>
                  <w:vAlign w:val="center"/>
                </w:tcPr>
                <w:p w14:paraId="529F472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78" w:type="dxa"/>
                  <w:noWrap w:val="0"/>
                  <w:vAlign w:val="center"/>
                </w:tcPr>
                <w:p w14:paraId="754723F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119</w:t>
                  </w:r>
                </w:p>
              </w:tc>
              <w:tc>
                <w:tcPr>
                  <w:tcW w:w="738" w:type="dxa"/>
                  <w:noWrap w:val="0"/>
                  <w:vAlign w:val="center"/>
                </w:tcPr>
                <w:p w14:paraId="57DA310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77" w:type="dxa"/>
                  <w:noWrap w:val="0"/>
                  <w:vAlign w:val="center"/>
                </w:tcPr>
                <w:p w14:paraId="034959B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143</w:t>
                  </w:r>
                </w:p>
              </w:tc>
              <w:tc>
                <w:tcPr>
                  <w:tcW w:w="738" w:type="dxa"/>
                  <w:noWrap w:val="0"/>
                  <w:vAlign w:val="center"/>
                </w:tcPr>
                <w:p w14:paraId="1CC6B791">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r>
            <w:tr w14:paraId="4E882DA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5FACDEC9">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8</w:t>
                  </w:r>
                </w:p>
              </w:tc>
              <w:tc>
                <w:tcPr>
                  <w:tcW w:w="1253" w:type="dxa"/>
                  <w:noWrap w:val="0"/>
                  <w:vAlign w:val="center"/>
                </w:tcPr>
                <w:p w14:paraId="5DCA49DD">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520" w:type="dxa"/>
                  <w:noWrap w:val="0"/>
                  <w:vAlign w:val="center"/>
                </w:tcPr>
                <w:p w14:paraId="3F7B317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41340D7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70</w:t>
                  </w:r>
                </w:p>
              </w:tc>
              <w:tc>
                <w:tcPr>
                  <w:tcW w:w="573" w:type="dxa"/>
                  <w:noWrap w:val="0"/>
                  <w:vAlign w:val="center"/>
                </w:tcPr>
                <w:p w14:paraId="471074A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84</w:t>
                  </w:r>
                </w:p>
              </w:tc>
              <w:tc>
                <w:tcPr>
                  <w:tcW w:w="695" w:type="dxa"/>
                  <w:noWrap w:val="0"/>
                  <w:vAlign w:val="center"/>
                </w:tcPr>
                <w:p w14:paraId="70BF308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w:t>
                  </w:r>
                </w:p>
              </w:tc>
              <w:tc>
                <w:tcPr>
                  <w:tcW w:w="561" w:type="dxa"/>
                  <w:noWrap w:val="0"/>
                  <w:vAlign w:val="center"/>
                </w:tcPr>
                <w:p w14:paraId="582C507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133</w:t>
                  </w:r>
                </w:p>
              </w:tc>
              <w:tc>
                <w:tcPr>
                  <w:tcW w:w="722" w:type="dxa"/>
                  <w:noWrap w:val="0"/>
                  <w:vAlign w:val="center"/>
                </w:tcPr>
                <w:p w14:paraId="1C07D24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w:t>
                  </w:r>
                </w:p>
              </w:tc>
              <w:tc>
                <w:tcPr>
                  <w:tcW w:w="578" w:type="dxa"/>
                  <w:noWrap w:val="0"/>
                  <w:vAlign w:val="center"/>
                </w:tcPr>
                <w:p w14:paraId="3EE7C3D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148</w:t>
                  </w:r>
                </w:p>
              </w:tc>
              <w:tc>
                <w:tcPr>
                  <w:tcW w:w="738" w:type="dxa"/>
                  <w:noWrap w:val="0"/>
                  <w:vAlign w:val="center"/>
                </w:tcPr>
                <w:p w14:paraId="6855135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w:t>
                  </w:r>
                </w:p>
              </w:tc>
              <w:tc>
                <w:tcPr>
                  <w:tcW w:w="577" w:type="dxa"/>
                  <w:noWrap w:val="0"/>
                  <w:vAlign w:val="center"/>
                </w:tcPr>
                <w:p w14:paraId="1ED8665C">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142</w:t>
                  </w:r>
                </w:p>
              </w:tc>
              <w:tc>
                <w:tcPr>
                  <w:tcW w:w="738" w:type="dxa"/>
                  <w:noWrap w:val="0"/>
                  <w:vAlign w:val="center"/>
                </w:tcPr>
                <w:p w14:paraId="36E6F547">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w:t>
                  </w:r>
                </w:p>
              </w:tc>
            </w:tr>
            <w:tr w14:paraId="6F511A8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6332283B">
                  <w:pPr>
                    <w:jc w:val="cente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9</w:t>
                  </w:r>
                </w:p>
              </w:tc>
              <w:tc>
                <w:tcPr>
                  <w:tcW w:w="1253" w:type="dxa"/>
                  <w:noWrap w:val="0"/>
                  <w:vAlign w:val="center"/>
                </w:tcPr>
                <w:p w14:paraId="3EF25C66">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装载机</w:t>
                  </w:r>
                </w:p>
              </w:tc>
              <w:tc>
                <w:tcPr>
                  <w:tcW w:w="520" w:type="dxa"/>
                  <w:noWrap w:val="0"/>
                  <w:vAlign w:val="center"/>
                </w:tcPr>
                <w:p w14:paraId="0F0642B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6F83A59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32EC2D7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41</w:t>
                  </w:r>
                </w:p>
              </w:tc>
              <w:tc>
                <w:tcPr>
                  <w:tcW w:w="695" w:type="dxa"/>
                  <w:noWrap w:val="0"/>
                  <w:vAlign w:val="center"/>
                </w:tcPr>
                <w:p w14:paraId="7359C72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561" w:type="dxa"/>
                  <w:noWrap w:val="0"/>
                  <w:vAlign w:val="center"/>
                </w:tcPr>
                <w:p w14:paraId="1487EDE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132</w:t>
                  </w:r>
                </w:p>
              </w:tc>
              <w:tc>
                <w:tcPr>
                  <w:tcW w:w="722" w:type="dxa"/>
                  <w:noWrap w:val="0"/>
                  <w:vAlign w:val="center"/>
                </w:tcPr>
                <w:p w14:paraId="22D49A5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78" w:type="dxa"/>
                  <w:noWrap w:val="0"/>
                  <w:vAlign w:val="center"/>
                </w:tcPr>
                <w:p w14:paraId="670A0FC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188</w:t>
                  </w:r>
                </w:p>
              </w:tc>
              <w:tc>
                <w:tcPr>
                  <w:tcW w:w="738" w:type="dxa"/>
                  <w:noWrap w:val="0"/>
                  <w:vAlign w:val="center"/>
                </w:tcPr>
                <w:p w14:paraId="3306B13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c>
                <w:tcPr>
                  <w:tcW w:w="577" w:type="dxa"/>
                  <w:noWrap w:val="0"/>
                  <w:vAlign w:val="center"/>
                </w:tcPr>
                <w:p w14:paraId="5AED5ED1">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110</w:t>
                  </w:r>
                </w:p>
              </w:tc>
              <w:tc>
                <w:tcPr>
                  <w:tcW w:w="738" w:type="dxa"/>
                  <w:noWrap w:val="0"/>
                  <w:vAlign w:val="center"/>
                </w:tcPr>
                <w:p w14:paraId="3A41CFA3">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r>
            <w:tr w14:paraId="620E2B2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21D770B4">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10</w:t>
                  </w:r>
                </w:p>
              </w:tc>
              <w:tc>
                <w:tcPr>
                  <w:tcW w:w="1253" w:type="dxa"/>
                  <w:noWrap w:val="0"/>
                  <w:vAlign w:val="center"/>
                </w:tcPr>
                <w:p w14:paraId="74C37A4F">
                  <w:pPr>
                    <w:keepNext w:val="0"/>
                    <w:keepLines w:val="0"/>
                    <w:pageBreakBefore w:val="0"/>
                    <w:widowControl w:val="0"/>
                    <w:kinsoku/>
                    <w:wordWrap/>
                    <w:overflowPunct/>
                    <w:topLinePunct w:val="0"/>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自卸汽车</w:t>
                  </w:r>
                </w:p>
              </w:tc>
              <w:tc>
                <w:tcPr>
                  <w:tcW w:w="520" w:type="dxa"/>
                  <w:noWrap w:val="0"/>
                  <w:vAlign w:val="center"/>
                </w:tcPr>
                <w:p w14:paraId="4F0CBC0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w:t>
                  </w:r>
                </w:p>
              </w:tc>
              <w:tc>
                <w:tcPr>
                  <w:tcW w:w="521" w:type="dxa"/>
                  <w:noWrap w:val="0"/>
                  <w:vAlign w:val="center"/>
                </w:tcPr>
                <w:p w14:paraId="7A7BE98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64A8E22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72</w:t>
                  </w:r>
                </w:p>
              </w:tc>
              <w:tc>
                <w:tcPr>
                  <w:tcW w:w="695" w:type="dxa"/>
                  <w:noWrap w:val="0"/>
                  <w:vAlign w:val="center"/>
                </w:tcPr>
                <w:p w14:paraId="0CCC077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35</w:t>
                  </w:r>
                </w:p>
              </w:tc>
              <w:tc>
                <w:tcPr>
                  <w:tcW w:w="561" w:type="dxa"/>
                  <w:noWrap w:val="0"/>
                  <w:vAlign w:val="center"/>
                </w:tcPr>
                <w:p w14:paraId="2A4D7F4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138</w:t>
                  </w:r>
                </w:p>
              </w:tc>
              <w:tc>
                <w:tcPr>
                  <w:tcW w:w="722" w:type="dxa"/>
                  <w:noWrap w:val="0"/>
                  <w:vAlign w:val="center"/>
                </w:tcPr>
                <w:p w14:paraId="43535BD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c>
                <w:tcPr>
                  <w:tcW w:w="578" w:type="dxa"/>
                  <w:noWrap w:val="0"/>
                  <w:vAlign w:val="center"/>
                </w:tcPr>
                <w:p w14:paraId="0E96183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186</w:t>
                  </w:r>
                </w:p>
              </w:tc>
              <w:tc>
                <w:tcPr>
                  <w:tcW w:w="738" w:type="dxa"/>
                  <w:noWrap w:val="0"/>
                  <w:vAlign w:val="center"/>
                </w:tcPr>
                <w:p w14:paraId="4866B75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7" w:type="dxa"/>
                  <w:noWrap w:val="0"/>
                  <w:vAlign w:val="center"/>
                </w:tcPr>
                <w:p w14:paraId="474E191A">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104</w:t>
                  </w:r>
                </w:p>
              </w:tc>
              <w:tc>
                <w:tcPr>
                  <w:tcW w:w="738" w:type="dxa"/>
                  <w:noWrap w:val="0"/>
                  <w:vAlign w:val="center"/>
                </w:tcPr>
                <w:p w14:paraId="2FEB0477">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32</w:t>
                  </w:r>
                </w:p>
              </w:tc>
            </w:tr>
            <w:tr w14:paraId="41DD777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766E3970">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11</w:t>
                  </w:r>
                </w:p>
              </w:tc>
              <w:tc>
                <w:tcPr>
                  <w:tcW w:w="1253" w:type="dxa"/>
                  <w:noWrap w:val="0"/>
                  <w:vAlign w:val="center"/>
                </w:tcPr>
                <w:p w14:paraId="1752F7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搅拌</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楼</w:t>
                  </w:r>
                </w:p>
              </w:tc>
              <w:tc>
                <w:tcPr>
                  <w:tcW w:w="520" w:type="dxa"/>
                  <w:noWrap w:val="0"/>
                  <w:vAlign w:val="center"/>
                </w:tcPr>
                <w:p w14:paraId="7084FA2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21" w:type="dxa"/>
                  <w:noWrap w:val="0"/>
                  <w:vAlign w:val="center"/>
                </w:tcPr>
                <w:p w14:paraId="1FF05DB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68201E1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67</w:t>
                  </w:r>
                </w:p>
              </w:tc>
              <w:tc>
                <w:tcPr>
                  <w:tcW w:w="695" w:type="dxa"/>
                  <w:noWrap w:val="0"/>
                  <w:vAlign w:val="center"/>
                </w:tcPr>
                <w:p w14:paraId="2B391D2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36</w:t>
                  </w:r>
                </w:p>
              </w:tc>
              <w:tc>
                <w:tcPr>
                  <w:tcW w:w="561" w:type="dxa"/>
                  <w:noWrap w:val="0"/>
                  <w:vAlign w:val="center"/>
                </w:tcPr>
                <w:p w14:paraId="0D3DD16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197</w:t>
                  </w:r>
                </w:p>
              </w:tc>
              <w:tc>
                <w:tcPr>
                  <w:tcW w:w="722" w:type="dxa"/>
                  <w:noWrap w:val="0"/>
                  <w:vAlign w:val="center"/>
                </w:tcPr>
                <w:p w14:paraId="1F3E8A3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8" w:type="dxa"/>
                  <w:noWrap w:val="0"/>
                  <w:vAlign w:val="center"/>
                </w:tcPr>
                <w:p w14:paraId="7C131D5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118</w:t>
                  </w:r>
                </w:p>
              </w:tc>
              <w:tc>
                <w:tcPr>
                  <w:tcW w:w="738" w:type="dxa"/>
                  <w:noWrap w:val="0"/>
                  <w:vAlign w:val="center"/>
                </w:tcPr>
                <w:p w14:paraId="218DD05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32</w:t>
                  </w:r>
                </w:p>
              </w:tc>
              <w:tc>
                <w:tcPr>
                  <w:tcW w:w="577" w:type="dxa"/>
                  <w:noWrap w:val="0"/>
                  <w:vAlign w:val="center"/>
                </w:tcPr>
                <w:p w14:paraId="2782FB87">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39</w:t>
                  </w:r>
                </w:p>
              </w:tc>
              <w:tc>
                <w:tcPr>
                  <w:tcW w:w="738" w:type="dxa"/>
                  <w:noWrap w:val="0"/>
                  <w:vAlign w:val="center"/>
                </w:tcPr>
                <w:p w14:paraId="00311EC2">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41</w:t>
                  </w:r>
                </w:p>
              </w:tc>
            </w:tr>
            <w:tr w14:paraId="26E14FDE">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7E3E50A4">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12</w:t>
                  </w:r>
                </w:p>
              </w:tc>
              <w:tc>
                <w:tcPr>
                  <w:tcW w:w="1253" w:type="dxa"/>
                  <w:noWrap w:val="0"/>
                  <w:vAlign w:val="center"/>
                </w:tcPr>
                <w:p w14:paraId="25D6877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皮带输送机</w:t>
                  </w:r>
                </w:p>
              </w:tc>
              <w:tc>
                <w:tcPr>
                  <w:tcW w:w="520" w:type="dxa"/>
                  <w:noWrap w:val="0"/>
                  <w:vAlign w:val="center"/>
                </w:tcPr>
                <w:p w14:paraId="3A4FD5A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21" w:type="dxa"/>
                  <w:noWrap w:val="0"/>
                  <w:vAlign w:val="center"/>
                </w:tcPr>
                <w:p w14:paraId="3091A59B">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70</w:t>
                  </w:r>
                </w:p>
              </w:tc>
              <w:tc>
                <w:tcPr>
                  <w:tcW w:w="573" w:type="dxa"/>
                  <w:noWrap w:val="0"/>
                  <w:vAlign w:val="center"/>
                </w:tcPr>
                <w:p w14:paraId="614F4E2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65</w:t>
                  </w:r>
                </w:p>
              </w:tc>
              <w:tc>
                <w:tcPr>
                  <w:tcW w:w="695" w:type="dxa"/>
                  <w:noWrap w:val="0"/>
                  <w:vAlign w:val="center"/>
                </w:tcPr>
                <w:p w14:paraId="1E0E4B4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c>
                <w:tcPr>
                  <w:tcW w:w="561" w:type="dxa"/>
                  <w:noWrap w:val="0"/>
                  <w:vAlign w:val="center"/>
                </w:tcPr>
                <w:p w14:paraId="6011D22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212</w:t>
                  </w:r>
                </w:p>
              </w:tc>
              <w:tc>
                <w:tcPr>
                  <w:tcW w:w="722" w:type="dxa"/>
                  <w:noWrap w:val="0"/>
                  <w:vAlign w:val="center"/>
                </w:tcPr>
                <w:p w14:paraId="0B037D1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w:t>
                  </w:r>
                </w:p>
              </w:tc>
              <w:tc>
                <w:tcPr>
                  <w:tcW w:w="578" w:type="dxa"/>
                  <w:noWrap w:val="0"/>
                  <w:vAlign w:val="center"/>
                </w:tcPr>
                <w:p w14:paraId="4244E5C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121</w:t>
                  </w:r>
                </w:p>
              </w:tc>
              <w:tc>
                <w:tcPr>
                  <w:tcW w:w="738" w:type="dxa"/>
                  <w:noWrap w:val="0"/>
                  <w:vAlign w:val="center"/>
                </w:tcPr>
                <w:p w14:paraId="438C373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w:t>
                  </w:r>
                </w:p>
              </w:tc>
              <w:tc>
                <w:tcPr>
                  <w:tcW w:w="577" w:type="dxa"/>
                  <w:noWrap w:val="0"/>
                  <w:vAlign w:val="center"/>
                </w:tcPr>
                <w:p w14:paraId="432E219D">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35</w:t>
                  </w:r>
                </w:p>
              </w:tc>
              <w:tc>
                <w:tcPr>
                  <w:tcW w:w="738" w:type="dxa"/>
                  <w:noWrap w:val="0"/>
                  <w:vAlign w:val="center"/>
                </w:tcPr>
                <w:p w14:paraId="6297041B">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r>
            <w:tr w14:paraId="02F0A57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20B39D74">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13</w:t>
                  </w:r>
                </w:p>
              </w:tc>
              <w:tc>
                <w:tcPr>
                  <w:tcW w:w="1253" w:type="dxa"/>
                  <w:noWrap w:val="0"/>
                  <w:vAlign w:val="center"/>
                </w:tcPr>
                <w:p w14:paraId="515013A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铲车</w:t>
                  </w:r>
                </w:p>
              </w:tc>
              <w:tc>
                <w:tcPr>
                  <w:tcW w:w="520" w:type="dxa"/>
                  <w:noWrap w:val="0"/>
                  <w:vAlign w:val="center"/>
                </w:tcPr>
                <w:p w14:paraId="20FBF87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21" w:type="dxa"/>
                  <w:noWrap w:val="0"/>
                  <w:vAlign w:val="center"/>
                </w:tcPr>
                <w:p w14:paraId="3D7CA1D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748FD25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54</w:t>
                  </w:r>
                </w:p>
              </w:tc>
              <w:tc>
                <w:tcPr>
                  <w:tcW w:w="695" w:type="dxa"/>
                  <w:noWrap w:val="0"/>
                  <w:vAlign w:val="center"/>
                </w:tcPr>
                <w:p w14:paraId="4F7919E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561" w:type="dxa"/>
                  <w:noWrap w:val="0"/>
                  <w:vAlign w:val="center"/>
                </w:tcPr>
                <w:p w14:paraId="3F7E3A0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204</w:t>
                  </w:r>
                </w:p>
              </w:tc>
              <w:tc>
                <w:tcPr>
                  <w:tcW w:w="722" w:type="dxa"/>
                  <w:noWrap w:val="0"/>
                  <w:vAlign w:val="center"/>
                </w:tcPr>
                <w:p w14:paraId="58F7D5C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w:t>
                  </w:r>
                </w:p>
              </w:tc>
              <w:tc>
                <w:tcPr>
                  <w:tcW w:w="578" w:type="dxa"/>
                  <w:noWrap w:val="0"/>
                  <w:vAlign w:val="center"/>
                </w:tcPr>
                <w:p w14:paraId="0CB112C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136</w:t>
                  </w:r>
                </w:p>
              </w:tc>
              <w:tc>
                <w:tcPr>
                  <w:tcW w:w="738" w:type="dxa"/>
                  <w:noWrap w:val="0"/>
                  <w:vAlign w:val="center"/>
                </w:tcPr>
                <w:p w14:paraId="612FFE5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77" w:type="dxa"/>
                  <w:noWrap w:val="0"/>
                  <w:vAlign w:val="center"/>
                </w:tcPr>
                <w:p w14:paraId="4A98FD28">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738" w:type="dxa"/>
                  <w:noWrap w:val="0"/>
                  <w:vAlign w:val="center"/>
                </w:tcPr>
                <w:p w14:paraId="4AAE586A">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38</w:t>
                  </w:r>
                </w:p>
              </w:tc>
            </w:tr>
            <w:tr w14:paraId="0CAED63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363ED340">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14</w:t>
                  </w:r>
                </w:p>
              </w:tc>
              <w:tc>
                <w:tcPr>
                  <w:tcW w:w="1253" w:type="dxa"/>
                  <w:noWrap w:val="0"/>
                  <w:vAlign w:val="center"/>
                </w:tcPr>
                <w:p w14:paraId="1EDB623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砂石分离机</w:t>
                  </w:r>
                </w:p>
              </w:tc>
              <w:tc>
                <w:tcPr>
                  <w:tcW w:w="520" w:type="dxa"/>
                  <w:noWrap w:val="0"/>
                  <w:vAlign w:val="center"/>
                </w:tcPr>
                <w:p w14:paraId="60E473D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496F337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4E3583C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w:t>
                  </w:r>
                </w:p>
              </w:tc>
              <w:tc>
                <w:tcPr>
                  <w:tcW w:w="695" w:type="dxa"/>
                  <w:noWrap w:val="0"/>
                  <w:vAlign w:val="center"/>
                </w:tcPr>
                <w:p w14:paraId="53611AE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50</w:t>
                  </w:r>
                </w:p>
              </w:tc>
              <w:tc>
                <w:tcPr>
                  <w:tcW w:w="561" w:type="dxa"/>
                  <w:noWrap w:val="0"/>
                  <w:vAlign w:val="center"/>
                </w:tcPr>
                <w:p w14:paraId="31A6038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73</w:t>
                  </w:r>
                </w:p>
              </w:tc>
              <w:tc>
                <w:tcPr>
                  <w:tcW w:w="722" w:type="dxa"/>
                  <w:noWrap w:val="0"/>
                  <w:vAlign w:val="center"/>
                </w:tcPr>
                <w:p w14:paraId="4E3182A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578" w:type="dxa"/>
                  <w:noWrap w:val="0"/>
                  <w:vAlign w:val="center"/>
                </w:tcPr>
                <w:p w14:paraId="5A736FC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225</w:t>
                  </w:r>
                </w:p>
              </w:tc>
              <w:tc>
                <w:tcPr>
                  <w:tcW w:w="738" w:type="dxa"/>
                  <w:noWrap w:val="0"/>
                  <w:vAlign w:val="center"/>
                </w:tcPr>
                <w:p w14:paraId="4B48A71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77" w:type="dxa"/>
                  <w:noWrap w:val="0"/>
                  <w:vAlign w:val="center"/>
                </w:tcPr>
                <w:p w14:paraId="40A85FD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162</w:t>
                  </w:r>
                </w:p>
              </w:tc>
              <w:tc>
                <w:tcPr>
                  <w:tcW w:w="738" w:type="dxa"/>
                  <w:noWrap w:val="0"/>
                  <w:vAlign w:val="center"/>
                </w:tcPr>
                <w:p w14:paraId="279A4AA1">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r>
            <w:tr w14:paraId="3377914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402EA95B">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15</w:t>
                  </w:r>
                </w:p>
              </w:tc>
              <w:tc>
                <w:tcPr>
                  <w:tcW w:w="1253" w:type="dxa"/>
                  <w:noWrap w:val="0"/>
                  <w:vAlign w:val="center"/>
                </w:tcPr>
                <w:p w14:paraId="5BABC8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压滤机</w:t>
                  </w:r>
                </w:p>
              </w:tc>
              <w:tc>
                <w:tcPr>
                  <w:tcW w:w="520" w:type="dxa"/>
                  <w:noWrap w:val="0"/>
                  <w:vAlign w:val="center"/>
                </w:tcPr>
                <w:p w14:paraId="5D0F4A0F">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5B67A849">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6374777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w:t>
                  </w:r>
                </w:p>
              </w:tc>
              <w:tc>
                <w:tcPr>
                  <w:tcW w:w="695" w:type="dxa"/>
                  <w:noWrap w:val="0"/>
                  <w:vAlign w:val="center"/>
                </w:tcPr>
                <w:p w14:paraId="1B8DA56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43</w:t>
                  </w:r>
                </w:p>
              </w:tc>
              <w:tc>
                <w:tcPr>
                  <w:tcW w:w="561" w:type="dxa"/>
                  <w:noWrap w:val="0"/>
                  <w:vAlign w:val="center"/>
                </w:tcPr>
                <w:p w14:paraId="3DBEFD0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76</w:t>
                  </w:r>
                </w:p>
              </w:tc>
              <w:tc>
                <w:tcPr>
                  <w:tcW w:w="722" w:type="dxa"/>
                  <w:noWrap w:val="0"/>
                  <w:vAlign w:val="center"/>
                </w:tcPr>
                <w:p w14:paraId="2FA5500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8" w:type="dxa"/>
                  <w:noWrap w:val="0"/>
                  <w:vAlign w:val="center"/>
                </w:tcPr>
                <w:p w14:paraId="31E0348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219</w:t>
                  </w:r>
                </w:p>
              </w:tc>
              <w:tc>
                <w:tcPr>
                  <w:tcW w:w="738" w:type="dxa"/>
                  <w:noWrap w:val="0"/>
                  <w:vAlign w:val="center"/>
                </w:tcPr>
                <w:p w14:paraId="4A851C9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577" w:type="dxa"/>
                  <w:noWrap w:val="0"/>
                  <w:vAlign w:val="center"/>
                </w:tcPr>
                <w:p w14:paraId="1B4BF22C">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157</w:t>
                  </w:r>
                </w:p>
              </w:tc>
              <w:tc>
                <w:tcPr>
                  <w:tcW w:w="738" w:type="dxa"/>
                  <w:noWrap w:val="0"/>
                  <w:vAlign w:val="center"/>
                </w:tcPr>
                <w:p w14:paraId="740F1199">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w:t>
                  </w:r>
                </w:p>
              </w:tc>
            </w:tr>
            <w:tr w14:paraId="4AB14449">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6AC3F6D9">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16</w:t>
                  </w:r>
                </w:p>
              </w:tc>
              <w:tc>
                <w:tcPr>
                  <w:tcW w:w="1253" w:type="dxa"/>
                  <w:noWrap w:val="0"/>
                  <w:vAlign w:val="center"/>
                </w:tcPr>
                <w:p w14:paraId="77E8B2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备用发电机</w:t>
                  </w:r>
                </w:p>
              </w:tc>
              <w:tc>
                <w:tcPr>
                  <w:tcW w:w="520" w:type="dxa"/>
                  <w:noWrap w:val="0"/>
                  <w:vAlign w:val="center"/>
                </w:tcPr>
                <w:p w14:paraId="122092DB">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3710B2C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190F712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91</w:t>
                  </w:r>
                </w:p>
              </w:tc>
              <w:tc>
                <w:tcPr>
                  <w:tcW w:w="695" w:type="dxa"/>
                  <w:noWrap w:val="0"/>
                  <w:vAlign w:val="center"/>
                </w:tcPr>
                <w:p w14:paraId="4010256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31</w:t>
                  </w:r>
                </w:p>
              </w:tc>
              <w:tc>
                <w:tcPr>
                  <w:tcW w:w="561" w:type="dxa"/>
                  <w:noWrap w:val="0"/>
                  <w:vAlign w:val="center"/>
                </w:tcPr>
                <w:p w14:paraId="2E3817C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162</w:t>
                  </w:r>
                </w:p>
              </w:tc>
              <w:tc>
                <w:tcPr>
                  <w:tcW w:w="722" w:type="dxa"/>
                  <w:noWrap w:val="0"/>
                  <w:vAlign w:val="center"/>
                </w:tcPr>
                <w:p w14:paraId="74E8528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578" w:type="dxa"/>
                  <w:noWrap w:val="0"/>
                  <w:vAlign w:val="center"/>
                </w:tcPr>
                <w:p w14:paraId="7528D1E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111</w:t>
                  </w:r>
                </w:p>
              </w:tc>
              <w:tc>
                <w:tcPr>
                  <w:tcW w:w="738" w:type="dxa"/>
                  <w:noWrap w:val="0"/>
                  <w:vAlign w:val="center"/>
                </w:tcPr>
                <w:p w14:paraId="777E0A4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c>
                <w:tcPr>
                  <w:tcW w:w="577" w:type="dxa"/>
                  <w:noWrap w:val="0"/>
                  <w:vAlign w:val="center"/>
                </w:tcPr>
                <w:p w14:paraId="7676C015">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108</w:t>
                  </w:r>
                </w:p>
              </w:tc>
              <w:tc>
                <w:tcPr>
                  <w:tcW w:w="738" w:type="dxa"/>
                  <w:noWrap w:val="0"/>
                  <w:vAlign w:val="center"/>
                </w:tcPr>
                <w:p w14:paraId="5F911EAC">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r>
            <w:tr w14:paraId="0D7F977B">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2A4EFE74">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17</w:t>
                  </w:r>
                </w:p>
              </w:tc>
              <w:tc>
                <w:tcPr>
                  <w:tcW w:w="1253" w:type="dxa"/>
                  <w:noWrap w:val="0"/>
                  <w:vAlign w:val="center"/>
                </w:tcPr>
                <w:p w14:paraId="6D759295">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全自动液压钢筋调直切断机</w:t>
                  </w:r>
                </w:p>
              </w:tc>
              <w:tc>
                <w:tcPr>
                  <w:tcW w:w="520" w:type="dxa"/>
                  <w:noWrap w:val="0"/>
                  <w:vAlign w:val="center"/>
                </w:tcPr>
                <w:p w14:paraId="3CEA8E8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367FE09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41FB5AE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125</w:t>
                  </w:r>
                </w:p>
              </w:tc>
              <w:tc>
                <w:tcPr>
                  <w:tcW w:w="695" w:type="dxa"/>
                  <w:noWrap w:val="0"/>
                  <w:vAlign w:val="center"/>
                </w:tcPr>
                <w:p w14:paraId="29F00C5A">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61" w:type="dxa"/>
                  <w:noWrap w:val="0"/>
                  <w:vAlign w:val="center"/>
                </w:tcPr>
                <w:p w14:paraId="5A0C0F0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74</w:t>
                  </w:r>
                </w:p>
              </w:tc>
              <w:tc>
                <w:tcPr>
                  <w:tcW w:w="722" w:type="dxa"/>
                  <w:noWrap w:val="0"/>
                  <w:vAlign w:val="center"/>
                </w:tcPr>
                <w:p w14:paraId="1D0C18B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578" w:type="dxa"/>
                  <w:noWrap w:val="0"/>
                  <w:vAlign w:val="center"/>
                </w:tcPr>
                <w:p w14:paraId="75255C2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115</w:t>
                  </w:r>
                </w:p>
              </w:tc>
              <w:tc>
                <w:tcPr>
                  <w:tcW w:w="738" w:type="dxa"/>
                  <w:noWrap w:val="0"/>
                  <w:vAlign w:val="center"/>
                </w:tcPr>
                <w:p w14:paraId="5091DD5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c>
                <w:tcPr>
                  <w:tcW w:w="577" w:type="dxa"/>
                  <w:noWrap w:val="0"/>
                  <w:vAlign w:val="center"/>
                </w:tcPr>
                <w:p w14:paraId="6169C90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201</w:t>
                  </w:r>
                </w:p>
              </w:tc>
              <w:tc>
                <w:tcPr>
                  <w:tcW w:w="738" w:type="dxa"/>
                  <w:noWrap w:val="0"/>
                  <w:vAlign w:val="center"/>
                </w:tcPr>
                <w:p w14:paraId="2C61ABDA">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r>
            <w:tr w14:paraId="7FA9D19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392E507C">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18</w:t>
                  </w:r>
                </w:p>
              </w:tc>
              <w:tc>
                <w:tcPr>
                  <w:tcW w:w="1253" w:type="dxa"/>
                  <w:noWrap w:val="0"/>
                  <w:vAlign w:val="center"/>
                </w:tcPr>
                <w:p w14:paraId="40F12934">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自动焊网机</w:t>
                  </w:r>
                </w:p>
              </w:tc>
              <w:tc>
                <w:tcPr>
                  <w:tcW w:w="520" w:type="dxa"/>
                  <w:noWrap w:val="0"/>
                  <w:vAlign w:val="center"/>
                </w:tcPr>
                <w:p w14:paraId="2101467C">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0F5A00F1">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1370874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108</w:t>
                  </w:r>
                </w:p>
              </w:tc>
              <w:tc>
                <w:tcPr>
                  <w:tcW w:w="695" w:type="dxa"/>
                  <w:noWrap w:val="0"/>
                  <w:vAlign w:val="center"/>
                </w:tcPr>
                <w:p w14:paraId="63D9FE7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61" w:type="dxa"/>
                  <w:noWrap w:val="0"/>
                  <w:vAlign w:val="center"/>
                </w:tcPr>
                <w:p w14:paraId="4804ADC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71</w:t>
                  </w:r>
                </w:p>
              </w:tc>
              <w:tc>
                <w:tcPr>
                  <w:tcW w:w="722" w:type="dxa"/>
                  <w:noWrap w:val="0"/>
                  <w:vAlign w:val="center"/>
                </w:tcPr>
                <w:p w14:paraId="292B30A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78" w:type="dxa"/>
                  <w:noWrap w:val="0"/>
                  <w:vAlign w:val="center"/>
                </w:tcPr>
                <w:p w14:paraId="3FC1216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127</w:t>
                  </w:r>
                </w:p>
              </w:tc>
              <w:tc>
                <w:tcPr>
                  <w:tcW w:w="738" w:type="dxa"/>
                  <w:noWrap w:val="0"/>
                  <w:vAlign w:val="center"/>
                </w:tcPr>
                <w:p w14:paraId="20AA84D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77" w:type="dxa"/>
                  <w:noWrap w:val="0"/>
                  <w:vAlign w:val="center"/>
                </w:tcPr>
                <w:p w14:paraId="035D21FD">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202</w:t>
                  </w:r>
                </w:p>
              </w:tc>
              <w:tc>
                <w:tcPr>
                  <w:tcW w:w="738" w:type="dxa"/>
                  <w:noWrap w:val="0"/>
                  <w:vAlign w:val="center"/>
                </w:tcPr>
                <w:p w14:paraId="32CFCD8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r>
            <w:tr w14:paraId="15EE7C3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7D0518A6">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19</w:t>
                  </w:r>
                </w:p>
              </w:tc>
              <w:tc>
                <w:tcPr>
                  <w:tcW w:w="1253" w:type="dxa"/>
                  <w:noWrap w:val="0"/>
                  <w:vAlign w:val="center"/>
                </w:tcPr>
                <w:p w14:paraId="437E952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数控钢筋弯曲中心</w:t>
                  </w:r>
                </w:p>
              </w:tc>
              <w:tc>
                <w:tcPr>
                  <w:tcW w:w="520" w:type="dxa"/>
                  <w:noWrap w:val="0"/>
                  <w:vAlign w:val="center"/>
                </w:tcPr>
                <w:p w14:paraId="579E668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54F8FC6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55B3249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120</w:t>
                  </w:r>
                </w:p>
              </w:tc>
              <w:tc>
                <w:tcPr>
                  <w:tcW w:w="695" w:type="dxa"/>
                  <w:noWrap w:val="0"/>
                  <w:vAlign w:val="center"/>
                </w:tcPr>
                <w:p w14:paraId="10E169D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61" w:type="dxa"/>
                  <w:noWrap w:val="0"/>
                  <w:vAlign w:val="center"/>
                </w:tcPr>
                <w:p w14:paraId="3A30B6B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78</w:t>
                  </w:r>
                </w:p>
              </w:tc>
              <w:tc>
                <w:tcPr>
                  <w:tcW w:w="722" w:type="dxa"/>
                  <w:noWrap w:val="0"/>
                  <w:vAlign w:val="center"/>
                </w:tcPr>
                <w:p w14:paraId="09D7CE2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8" w:type="dxa"/>
                  <w:noWrap w:val="0"/>
                  <w:vAlign w:val="center"/>
                </w:tcPr>
                <w:p w14:paraId="3DB4E44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117</w:t>
                  </w:r>
                </w:p>
              </w:tc>
              <w:tc>
                <w:tcPr>
                  <w:tcW w:w="738" w:type="dxa"/>
                  <w:noWrap w:val="0"/>
                  <w:vAlign w:val="center"/>
                </w:tcPr>
                <w:p w14:paraId="2067A9C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77" w:type="dxa"/>
                  <w:noWrap w:val="0"/>
                  <w:vAlign w:val="center"/>
                </w:tcPr>
                <w:p w14:paraId="40C5B270">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194</w:t>
                  </w:r>
                </w:p>
              </w:tc>
              <w:tc>
                <w:tcPr>
                  <w:tcW w:w="738" w:type="dxa"/>
                  <w:noWrap w:val="0"/>
                  <w:vAlign w:val="center"/>
                </w:tcPr>
                <w:p w14:paraId="2A8D8408">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r>
            <w:tr w14:paraId="13014EEA">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03B42CE6">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20</w:t>
                  </w:r>
                </w:p>
              </w:tc>
              <w:tc>
                <w:tcPr>
                  <w:tcW w:w="1253" w:type="dxa"/>
                  <w:noWrap w:val="0"/>
                  <w:vAlign w:val="center"/>
                </w:tcPr>
                <w:p w14:paraId="3D650269">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数控钢筋弯箍机</w:t>
                  </w:r>
                </w:p>
              </w:tc>
              <w:tc>
                <w:tcPr>
                  <w:tcW w:w="520" w:type="dxa"/>
                  <w:noWrap w:val="0"/>
                  <w:vAlign w:val="center"/>
                </w:tcPr>
                <w:p w14:paraId="4B63342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0958A084">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1B22D6E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108</w:t>
                  </w:r>
                </w:p>
              </w:tc>
              <w:tc>
                <w:tcPr>
                  <w:tcW w:w="695" w:type="dxa"/>
                  <w:noWrap w:val="0"/>
                  <w:vAlign w:val="center"/>
                </w:tcPr>
                <w:p w14:paraId="1FE3531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61" w:type="dxa"/>
                  <w:noWrap w:val="0"/>
                  <w:vAlign w:val="center"/>
                </w:tcPr>
                <w:p w14:paraId="22A1526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79</w:t>
                  </w:r>
                </w:p>
              </w:tc>
              <w:tc>
                <w:tcPr>
                  <w:tcW w:w="722" w:type="dxa"/>
                  <w:noWrap w:val="0"/>
                  <w:vAlign w:val="center"/>
                </w:tcPr>
                <w:p w14:paraId="61781C5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8" w:type="dxa"/>
                  <w:noWrap w:val="0"/>
                  <w:vAlign w:val="center"/>
                </w:tcPr>
                <w:p w14:paraId="1995388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127</w:t>
                  </w:r>
                </w:p>
              </w:tc>
              <w:tc>
                <w:tcPr>
                  <w:tcW w:w="738" w:type="dxa"/>
                  <w:noWrap w:val="0"/>
                  <w:vAlign w:val="center"/>
                </w:tcPr>
                <w:p w14:paraId="394605D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77" w:type="dxa"/>
                  <w:noWrap w:val="0"/>
                  <w:vAlign w:val="center"/>
                </w:tcPr>
                <w:p w14:paraId="72B365AB">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194</w:t>
                  </w:r>
                </w:p>
              </w:tc>
              <w:tc>
                <w:tcPr>
                  <w:tcW w:w="738" w:type="dxa"/>
                  <w:noWrap w:val="0"/>
                  <w:vAlign w:val="center"/>
                </w:tcPr>
                <w:p w14:paraId="5B3801AF">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r>
            <w:tr w14:paraId="52AACD0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0C6D802C">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21</w:t>
                  </w:r>
                </w:p>
              </w:tc>
              <w:tc>
                <w:tcPr>
                  <w:tcW w:w="1253" w:type="dxa"/>
                  <w:noWrap w:val="0"/>
                  <w:vAlign w:val="center"/>
                </w:tcPr>
                <w:p w14:paraId="167930F7">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滚丝机</w:t>
                  </w:r>
                </w:p>
              </w:tc>
              <w:tc>
                <w:tcPr>
                  <w:tcW w:w="520" w:type="dxa"/>
                  <w:noWrap w:val="0"/>
                  <w:vAlign w:val="center"/>
                </w:tcPr>
                <w:p w14:paraId="63543D2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2</w:t>
                  </w:r>
                </w:p>
              </w:tc>
              <w:tc>
                <w:tcPr>
                  <w:tcW w:w="521" w:type="dxa"/>
                  <w:noWrap w:val="0"/>
                  <w:vAlign w:val="center"/>
                </w:tcPr>
                <w:p w14:paraId="3B77877E">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6685D84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99</w:t>
                  </w:r>
                </w:p>
              </w:tc>
              <w:tc>
                <w:tcPr>
                  <w:tcW w:w="695" w:type="dxa"/>
                  <w:noWrap w:val="0"/>
                  <w:vAlign w:val="center"/>
                </w:tcPr>
                <w:p w14:paraId="3B615F4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61" w:type="dxa"/>
                  <w:noWrap w:val="0"/>
                  <w:vAlign w:val="center"/>
                </w:tcPr>
                <w:p w14:paraId="3B78456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87</w:t>
                  </w:r>
                </w:p>
              </w:tc>
              <w:tc>
                <w:tcPr>
                  <w:tcW w:w="722" w:type="dxa"/>
                  <w:noWrap w:val="0"/>
                  <w:vAlign w:val="center"/>
                </w:tcPr>
                <w:p w14:paraId="36AC058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c>
                <w:tcPr>
                  <w:tcW w:w="578" w:type="dxa"/>
                  <w:noWrap w:val="0"/>
                  <w:vAlign w:val="center"/>
                </w:tcPr>
                <w:p w14:paraId="69A9A00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136</w:t>
                  </w:r>
                </w:p>
              </w:tc>
              <w:tc>
                <w:tcPr>
                  <w:tcW w:w="738" w:type="dxa"/>
                  <w:noWrap w:val="0"/>
                  <w:vAlign w:val="center"/>
                </w:tcPr>
                <w:p w14:paraId="333341C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77" w:type="dxa"/>
                  <w:noWrap w:val="0"/>
                  <w:vAlign w:val="center"/>
                </w:tcPr>
                <w:p w14:paraId="7A4DE472">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171</w:t>
                  </w:r>
                </w:p>
              </w:tc>
              <w:tc>
                <w:tcPr>
                  <w:tcW w:w="738" w:type="dxa"/>
                  <w:noWrap w:val="0"/>
                  <w:vAlign w:val="center"/>
                </w:tcPr>
                <w:p w14:paraId="3045B676">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r>
            <w:tr w14:paraId="3FF59A0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33834B0D">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22</w:t>
                  </w:r>
                </w:p>
              </w:tc>
              <w:tc>
                <w:tcPr>
                  <w:tcW w:w="1253" w:type="dxa"/>
                  <w:noWrap w:val="0"/>
                  <w:vAlign w:val="center"/>
                </w:tcPr>
                <w:p w14:paraId="327B543B">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钢筋笼滚焊机</w:t>
                  </w:r>
                </w:p>
              </w:tc>
              <w:tc>
                <w:tcPr>
                  <w:tcW w:w="520" w:type="dxa"/>
                  <w:noWrap w:val="0"/>
                  <w:vAlign w:val="center"/>
                </w:tcPr>
                <w:p w14:paraId="0D6AC88B">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092B4A10">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21DADB2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110</w:t>
                  </w:r>
                </w:p>
              </w:tc>
              <w:tc>
                <w:tcPr>
                  <w:tcW w:w="695" w:type="dxa"/>
                  <w:noWrap w:val="0"/>
                  <w:vAlign w:val="center"/>
                </w:tcPr>
                <w:p w14:paraId="60AD2C2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61" w:type="dxa"/>
                  <w:noWrap w:val="0"/>
                  <w:vAlign w:val="center"/>
                </w:tcPr>
                <w:p w14:paraId="7E5F61D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94</w:t>
                  </w:r>
                </w:p>
              </w:tc>
              <w:tc>
                <w:tcPr>
                  <w:tcW w:w="722" w:type="dxa"/>
                  <w:noWrap w:val="0"/>
                  <w:vAlign w:val="center"/>
                </w:tcPr>
                <w:p w14:paraId="3A6959C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578" w:type="dxa"/>
                  <w:noWrap w:val="0"/>
                  <w:vAlign w:val="center"/>
                </w:tcPr>
                <w:p w14:paraId="7F5345A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126</w:t>
                  </w:r>
                </w:p>
              </w:tc>
              <w:tc>
                <w:tcPr>
                  <w:tcW w:w="738" w:type="dxa"/>
                  <w:noWrap w:val="0"/>
                  <w:vAlign w:val="center"/>
                </w:tcPr>
                <w:p w14:paraId="21F5418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77" w:type="dxa"/>
                  <w:noWrap w:val="0"/>
                  <w:vAlign w:val="center"/>
                </w:tcPr>
                <w:p w14:paraId="629844DF">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178</w:t>
                  </w:r>
                </w:p>
              </w:tc>
              <w:tc>
                <w:tcPr>
                  <w:tcW w:w="738" w:type="dxa"/>
                  <w:noWrap w:val="0"/>
                  <w:vAlign w:val="center"/>
                </w:tcPr>
                <w:p w14:paraId="6772033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w:t>
                  </w:r>
                </w:p>
              </w:tc>
            </w:tr>
            <w:tr w14:paraId="3C29872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78803504">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23</w:t>
                  </w:r>
                </w:p>
              </w:tc>
              <w:tc>
                <w:tcPr>
                  <w:tcW w:w="1253" w:type="dxa"/>
                  <w:noWrap w:val="0"/>
                  <w:vAlign w:val="center"/>
                </w:tcPr>
                <w:p w14:paraId="1D870E96">
                  <w:pPr>
                    <w:pStyle w:val="54"/>
                    <w:keepNext w:val="0"/>
                    <w:keepLines w:val="0"/>
                    <w:pageBreakBefore w:val="0"/>
                    <w:widowControl w:val="0"/>
                    <w:kinsoku w:val="0"/>
                    <w:wordWrap/>
                    <w:overflowPunct w:val="0"/>
                    <w:topLinePunct w:val="0"/>
                    <w:autoSpaceDE w:val="0"/>
                    <w:autoSpaceDN w:val="0"/>
                    <w:bidi w:val="0"/>
                    <w:adjustRightInd w:val="0"/>
                    <w:snapToGrid w:val="0"/>
                    <w:spacing w:beforeLines="0" w:afterLines="0" w:line="240" w:lineRule="auto"/>
                    <w:ind w:left="0" w:leftChars="0" w:right="0" w:right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520" w:type="dxa"/>
                  <w:noWrap w:val="0"/>
                  <w:vAlign w:val="center"/>
                </w:tcPr>
                <w:p w14:paraId="5478761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370745B4">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1C48E57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103</w:t>
                  </w:r>
                </w:p>
              </w:tc>
              <w:tc>
                <w:tcPr>
                  <w:tcW w:w="695" w:type="dxa"/>
                  <w:noWrap w:val="0"/>
                  <w:vAlign w:val="center"/>
                </w:tcPr>
                <w:p w14:paraId="73E0229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61" w:type="dxa"/>
                  <w:noWrap w:val="0"/>
                  <w:vAlign w:val="center"/>
                </w:tcPr>
                <w:p w14:paraId="5A7A8F5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82</w:t>
                  </w:r>
                </w:p>
              </w:tc>
              <w:tc>
                <w:tcPr>
                  <w:tcW w:w="722" w:type="dxa"/>
                  <w:noWrap w:val="0"/>
                  <w:vAlign w:val="center"/>
                </w:tcPr>
                <w:p w14:paraId="4F6A72A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27</w:t>
                  </w:r>
                </w:p>
              </w:tc>
              <w:tc>
                <w:tcPr>
                  <w:tcW w:w="578" w:type="dxa"/>
                  <w:noWrap w:val="0"/>
                  <w:vAlign w:val="center"/>
                </w:tcPr>
                <w:p w14:paraId="2DD1C12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128</w:t>
                  </w:r>
                </w:p>
              </w:tc>
              <w:tc>
                <w:tcPr>
                  <w:tcW w:w="738" w:type="dxa"/>
                  <w:noWrap w:val="0"/>
                  <w:vAlign w:val="center"/>
                </w:tcPr>
                <w:p w14:paraId="4F058DC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c>
                <w:tcPr>
                  <w:tcW w:w="577" w:type="dxa"/>
                  <w:noWrap w:val="0"/>
                  <w:vAlign w:val="center"/>
                </w:tcPr>
                <w:p w14:paraId="3D89943C">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191</w:t>
                  </w:r>
                </w:p>
              </w:tc>
              <w:tc>
                <w:tcPr>
                  <w:tcW w:w="738" w:type="dxa"/>
                  <w:noWrap w:val="0"/>
                  <w:vAlign w:val="center"/>
                </w:tcPr>
                <w:p w14:paraId="389002DB">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19</w:t>
                  </w:r>
                </w:p>
              </w:tc>
            </w:tr>
            <w:tr w14:paraId="4019BA9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66A2DF9E">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24</w:t>
                  </w:r>
                </w:p>
              </w:tc>
              <w:tc>
                <w:tcPr>
                  <w:tcW w:w="1253" w:type="dxa"/>
                  <w:noWrap w:val="0"/>
                  <w:vAlign w:val="center"/>
                </w:tcPr>
                <w:p w14:paraId="68531C8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智能张拉设备</w:t>
                  </w:r>
                </w:p>
              </w:tc>
              <w:tc>
                <w:tcPr>
                  <w:tcW w:w="520" w:type="dxa"/>
                  <w:noWrap w:val="0"/>
                  <w:vAlign w:val="center"/>
                </w:tcPr>
                <w:p w14:paraId="4A35A91D">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2E9D8D03">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690088B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116</w:t>
                  </w:r>
                </w:p>
              </w:tc>
              <w:tc>
                <w:tcPr>
                  <w:tcW w:w="695" w:type="dxa"/>
                  <w:noWrap w:val="0"/>
                  <w:vAlign w:val="center"/>
                </w:tcPr>
                <w:p w14:paraId="4AC6908B">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c>
                <w:tcPr>
                  <w:tcW w:w="561" w:type="dxa"/>
                  <w:noWrap w:val="0"/>
                  <w:vAlign w:val="center"/>
                </w:tcPr>
                <w:p w14:paraId="5D73521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52</w:t>
                  </w:r>
                </w:p>
              </w:tc>
              <w:tc>
                <w:tcPr>
                  <w:tcW w:w="722" w:type="dxa"/>
                  <w:noWrap w:val="0"/>
                  <w:vAlign w:val="center"/>
                </w:tcPr>
                <w:p w14:paraId="5E37353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36</w:t>
                  </w:r>
                </w:p>
              </w:tc>
              <w:tc>
                <w:tcPr>
                  <w:tcW w:w="578" w:type="dxa"/>
                  <w:noWrap w:val="0"/>
                  <w:vAlign w:val="center"/>
                </w:tcPr>
                <w:p w14:paraId="27BE4B83">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176</w:t>
                  </w:r>
                </w:p>
              </w:tc>
              <w:tc>
                <w:tcPr>
                  <w:tcW w:w="738" w:type="dxa"/>
                  <w:noWrap w:val="0"/>
                  <w:vAlign w:val="center"/>
                </w:tcPr>
                <w:p w14:paraId="4E894A74">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77" w:type="dxa"/>
                  <w:noWrap w:val="0"/>
                  <w:vAlign w:val="center"/>
                </w:tcPr>
                <w:p w14:paraId="4884BD34">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224</w:t>
                  </w:r>
                </w:p>
              </w:tc>
              <w:tc>
                <w:tcPr>
                  <w:tcW w:w="738" w:type="dxa"/>
                  <w:noWrap w:val="0"/>
                  <w:vAlign w:val="center"/>
                </w:tcPr>
                <w:p w14:paraId="0CA5E404">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r>
            <w:tr w14:paraId="76715A4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008B7F88">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25</w:t>
                  </w:r>
                </w:p>
              </w:tc>
              <w:tc>
                <w:tcPr>
                  <w:tcW w:w="1253" w:type="dxa"/>
                  <w:noWrap w:val="0"/>
                  <w:vAlign w:val="center"/>
                </w:tcPr>
                <w:p w14:paraId="174E5B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智能压浆设备</w:t>
                  </w:r>
                </w:p>
              </w:tc>
              <w:tc>
                <w:tcPr>
                  <w:tcW w:w="520" w:type="dxa"/>
                  <w:noWrap w:val="0"/>
                  <w:vAlign w:val="center"/>
                </w:tcPr>
                <w:p w14:paraId="72F4D2C6">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40ACCE24">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80</w:t>
                  </w:r>
                </w:p>
              </w:tc>
              <w:tc>
                <w:tcPr>
                  <w:tcW w:w="573" w:type="dxa"/>
                  <w:noWrap w:val="0"/>
                  <w:vAlign w:val="center"/>
                </w:tcPr>
                <w:p w14:paraId="29BC4EC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145</w:t>
                  </w:r>
                </w:p>
              </w:tc>
              <w:tc>
                <w:tcPr>
                  <w:tcW w:w="695" w:type="dxa"/>
                  <w:noWrap w:val="0"/>
                  <w:vAlign w:val="center"/>
                </w:tcPr>
                <w:p w14:paraId="08E2F75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c>
                <w:tcPr>
                  <w:tcW w:w="561" w:type="dxa"/>
                  <w:noWrap w:val="0"/>
                  <w:vAlign w:val="center"/>
                </w:tcPr>
                <w:p w14:paraId="04A26AC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50</w:t>
                  </w:r>
                </w:p>
              </w:tc>
              <w:tc>
                <w:tcPr>
                  <w:tcW w:w="722" w:type="dxa"/>
                  <w:noWrap w:val="0"/>
                  <w:vAlign w:val="center"/>
                </w:tcPr>
                <w:p w14:paraId="322D3AD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26</w:t>
                  </w:r>
                </w:p>
              </w:tc>
              <w:tc>
                <w:tcPr>
                  <w:tcW w:w="578" w:type="dxa"/>
                  <w:noWrap w:val="0"/>
                  <w:vAlign w:val="center"/>
                </w:tcPr>
                <w:p w14:paraId="32975AFF">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136</w:t>
                  </w:r>
                </w:p>
              </w:tc>
              <w:tc>
                <w:tcPr>
                  <w:tcW w:w="738" w:type="dxa"/>
                  <w:noWrap w:val="0"/>
                  <w:vAlign w:val="center"/>
                </w:tcPr>
                <w:p w14:paraId="155D8D4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w:t>
                  </w:r>
                </w:p>
              </w:tc>
              <w:tc>
                <w:tcPr>
                  <w:tcW w:w="577" w:type="dxa"/>
                  <w:noWrap w:val="0"/>
                  <w:vAlign w:val="center"/>
                </w:tcPr>
                <w:p w14:paraId="6E3B3F04">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220</w:t>
                  </w:r>
                </w:p>
              </w:tc>
              <w:tc>
                <w:tcPr>
                  <w:tcW w:w="738" w:type="dxa"/>
                  <w:noWrap w:val="0"/>
                  <w:vAlign w:val="center"/>
                </w:tcPr>
                <w:p w14:paraId="6013FB8E">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w:t>
                  </w:r>
                </w:p>
              </w:tc>
            </w:tr>
            <w:tr w14:paraId="3D7DB4A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31E42EDE">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26</w:t>
                  </w:r>
                </w:p>
              </w:tc>
              <w:tc>
                <w:tcPr>
                  <w:tcW w:w="1253" w:type="dxa"/>
                  <w:noWrap w:val="0"/>
                  <w:vAlign w:val="center"/>
                </w:tcPr>
                <w:p w14:paraId="1D16E6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自动喷淋养护系统</w:t>
                  </w:r>
                </w:p>
              </w:tc>
              <w:tc>
                <w:tcPr>
                  <w:tcW w:w="520" w:type="dxa"/>
                  <w:noWrap w:val="0"/>
                  <w:vAlign w:val="center"/>
                </w:tcPr>
                <w:p w14:paraId="70C54CE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03F07995">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069C408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218</w:t>
                  </w:r>
                </w:p>
              </w:tc>
              <w:tc>
                <w:tcPr>
                  <w:tcW w:w="695" w:type="dxa"/>
                  <w:noWrap w:val="0"/>
                  <w:vAlign w:val="center"/>
                </w:tcPr>
                <w:p w14:paraId="225ADB12">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561" w:type="dxa"/>
                  <w:noWrap w:val="0"/>
                  <w:vAlign w:val="center"/>
                </w:tcPr>
                <w:p w14:paraId="3D5937A0">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33</w:t>
                  </w:r>
                </w:p>
              </w:tc>
              <w:tc>
                <w:tcPr>
                  <w:tcW w:w="722" w:type="dxa"/>
                  <w:noWrap w:val="0"/>
                  <w:vAlign w:val="center"/>
                </w:tcPr>
                <w:p w14:paraId="6E35258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35</w:t>
                  </w:r>
                </w:p>
              </w:tc>
              <w:tc>
                <w:tcPr>
                  <w:tcW w:w="578" w:type="dxa"/>
                  <w:noWrap w:val="0"/>
                  <w:vAlign w:val="center"/>
                </w:tcPr>
                <w:p w14:paraId="35D4D8F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68</w:t>
                  </w:r>
                </w:p>
              </w:tc>
              <w:tc>
                <w:tcPr>
                  <w:tcW w:w="738" w:type="dxa"/>
                  <w:noWrap w:val="0"/>
                  <w:vAlign w:val="center"/>
                </w:tcPr>
                <w:p w14:paraId="20104F2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28</w:t>
                  </w:r>
                </w:p>
              </w:tc>
              <w:tc>
                <w:tcPr>
                  <w:tcW w:w="577" w:type="dxa"/>
                  <w:noWrap w:val="0"/>
                  <w:vAlign w:val="center"/>
                </w:tcPr>
                <w:p w14:paraId="56DFA693">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216</w:t>
                  </w:r>
                </w:p>
              </w:tc>
              <w:tc>
                <w:tcPr>
                  <w:tcW w:w="738" w:type="dxa"/>
                  <w:noWrap w:val="0"/>
                  <w:vAlign w:val="center"/>
                </w:tcPr>
                <w:p w14:paraId="6D73D639">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r>
            <w:tr w14:paraId="0BBA6B8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53A4655A">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27</w:t>
                  </w:r>
                </w:p>
              </w:tc>
              <w:tc>
                <w:tcPr>
                  <w:tcW w:w="1253" w:type="dxa"/>
                  <w:noWrap w:val="0"/>
                  <w:vAlign w:val="center"/>
                </w:tcPr>
                <w:p w14:paraId="3A77DD7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蒸汽发生器</w:t>
                  </w:r>
                </w:p>
              </w:tc>
              <w:tc>
                <w:tcPr>
                  <w:tcW w:w="520" w:type="dxa"/>
                  <w:noWrap w:val="0"/>
                  <w:vAlign w:val="center"/>
                </w:tcPr>
                <w:p w14:paraId="1E53686A">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1</w:t>
                  </w:r>
                </w:p>
              </w:tc>
              <w:tc>
                <w:tcPr>
                  <w:tcW w:w="521" w:type="dxa"/>
                  <w:noWrap w:val="0"/>
                  <w:vAlign w:val="center"/>
                </w:tcPr>
                <w:p w14:paraId="15CCA347">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90</w:t>
                  </w:r>
                </w:p>
              </w:tc>
              <w:tc>
                <w:tcPr>
                  <w:tcW w:w="573" w:type="dxa"/>
                  <w:noWrap w:val="0"/>
                  <w:vAlign w:val="center"/>
                </w:tcPr>
                <w:p w14:paraId="1E9EAF96">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201</w:t>
                  </w:r>
                </w:p>
              </w:tc>
              <w:tc>
                <w:tcPr>
                  <w:tcW w:w="695" w:type="dxa"/>
                  <w:noWrap w:val="0"/>
                  <w:vAlign w:val="center"/>
                </w:tcPr>
                <w:p w14:paraId="20A9464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24</w:t>
                  </w:r>
                </w:p>
              </w:tc>
              <w:tc>
                <w:tcPr>
                  <w:tcW w:w="561" w:type="dxa"/>
                  <w:noWrap w:val="0"/>
                  <w:vAlign w:val="center"/>
                </w:tcPr>
                <w:p w14:paraId="6F01966D">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34</w:t>
                  </w:r>
                </w:p>
              </w:tc>
              <w:tc>
                <w:tcPr>
                  <w:tcW w:w="722" w:type="dxa"/>
                  <w:noWrap w:val="0"/>
                  <w:vAlign w:val="center"/>
                </w:tcPr>
                <w:p w14:paraId="007DA2C8">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39</w:t>
                  </w:r>
                </w:p>
              </w:tc>
              <w:tc>
                <w:tcPr>
                  <w:tcW w:w="578" w:type="dxa"/>
                  <w:noWrap w:val="0"/>
                  <w:vAlign w:val="center"/>
                </w:tcPr>
                <w:p w14:paraId="4FD1283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65</w:t>
                  </w:r>
                </w:p>
              </w:tc>
              <w:tc>
                <w:tcPr>
                  <w:tcW w:w="738" w:type="dxa"/>
                  <w:noWrap w:val="0"/>
                  <w:vAlign w:val="center"/>
                </w:tcPr>
                <w:p w14:paraId="7F3B7125">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34</w:t>
                  </w:r>
                </w:p>
              </w:tc>
              <w:tc>
                <w:tcPr>
                  <w:tcW w:w="577" w:type="dxa"/>
                  <w:noWrap w:val="0"/>
                  <w:vAlign w:val="center"/>
                </w:tcPr>
                <w:p w14:paraId="0CBCC2B7">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222</w:t>
                  </w:r>
                </w:p>
              </w:tc>
              <w:tc>
                <w:tcPr>
                  <w:tcW w:w="738" w:type="dxa"/>
                  <w:noWrap w:val="0"/>
                  <w:vAlign w:val="center"/>
                </w:tcPr>
                <w:p w14:paraId="57675B4F">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r>
            <w:tr w14:paraId="7BBD370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466" w:type="dxa"/>
                  <w:noWrap w:val="0"/>
                  <w:vAlign w:val="center"/>
                </w:tcPr>
                <w:p w14:paraId="4133EA47">
                  <w:pPr>
                    <w:jc w:val="center"/>
                    <w:rPr>
                      <w:rFonts w:hint="default" w:ascii="Times New Roman" w:hAnsi="Times New Roman" w:eastAsia="宋体" w:cs="Times New Roman"/>
                      <w:bCs/>
                      <w:color w:val="000000" w:themeColor="text1"/>
                      <w:kern w:val="28"/>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28"/>
                      <w:szCs w:val="21"/>
                      <w:highlight w:val="none"/>
                      <w:lang w:val="en-US" w:eastAsia="zh-CN"/>
                      <w14:textFill>
                        <w14:solidFill>
                          <w14:schemeClr w14:val="tx1"/>
                        </w14:solidFill>
                      </w14:textFill>
                    </w:rPr>
                    <w:t>28</w:t>
                  </w:r>
                </w:p>
              </w:tc>
              <w:tc>
                <w:tcPr>
                  <w:tcW w:w="1253" w:type="dxa"/>
                  <w:noWrap w:val="0"/>
                  <w:vAlign w:val="center"/>
                </w:tcPr>
                <w:p w14:paraId="4836C0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门吊</w:t>
                  </w:r>
                </w:p>
              </w:tc>
              <w:tc>
                <w:tcPr>
                  <w:tcW w:w="520" w:type="dxa"/>
                  <w:noWrap w:val="0"/>
                  <w:vAlign w:val="center"/>
                </w:tcPr>
                <w:p w14:paraId="7F5BB92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3</w:t>
                  </w:r>
                </w:p>
              </w:tc>
              <w:tc>
                <w:tcPr>
                  <w:tcW w:w="521" w:type="dxa"/>
                  <w:noWrap w:val="0"/>
                  <w:vAlign w:val="center"/>
                </w:tcPr>
                <w:p w14:paraId="56D407E8">
                  <w:pPr>
                    <w:adjustRightInd w:val="0"/>
                    <w:snapToGrid w:val="0"/>
                    <w:jc w:val="center"/>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85</w:t>
                  </w:r>
                </w:p>
              </w:tc>
              <w:tc>
                <w:tcPr>
                  <w:tcW w:w="573" w:type="dxa"/>
                  <w:noWrap w:val="0"/>
                  <w:vAlign w:val="center"/>
                </w:tcPr>
                <w:p w14:paraId="09FEFBCC">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171</w:t>
                  </w:r>
                </w:p>
              </w:tc>
              <w:tc>
                <w:tcPr>
                  <w:tcW w:w="695" w:type="dxa"/>
                  <w:noWrap w:val="0"/>
                  <w:vAlign w:val="center"/>
                </w:tcPr>
                <w:p w14:paraId="39C958C9">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25</w:t>
                  </w:r>
                </w:p>
              </w:tc>
              <w:tc>
                <w:tcPr>
                  <w:tcW w:w="561" w:type="dxa"/>
                  <w:noWrap w:val="0"/>
                  <w:vAlign w:val="center"/>
                </w:tcPr>
                <w:p w14:paraId="6B4B9B2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40</w:t>
                  </w:r>
                </w:p>
              </w:tc>
              <w:tc>
                <w:tcPr>
                  <w:tcW w:w="722" w:type="dxa"/>
                  <w:noWrap w:val="0"/>
                  <w:vAlign w:val="center"/>
                </w:tcPr>
                <w:p w14:paraId="4B0E4E8E">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38</w:t>
                  </w:r>
                </w:p>
              </w:tc>
              <w:tc>
                <w:tcPr>
                  <w:tcW w:w="578" w:type="dxa"/>
                  <w:noWrap w:val="0"/>
                  <w:vAlign w:val="center"/>
                </w:tcPr>
                <w:p w14:paraId="442CD6C1">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113</w:t>
                  </w:r>
                </w:p>
              </w:tc>
              <w:tc>
                <w:tcPr>
                  <w:tcW w:w="738" w:type="dxa"/>
                  <w:noWrap w:val="0"/>
                  <w:vAlign w:val="center"/>
                </w:tcPr>
                <w:p w14:paraId="295410E7">
                  <w:pPr>
                    <w:keepNext w:val="0"/>
                    <w:keepLines w:val="0"/>
                    <w:widowControl/>
                    <w:suppressLineNumbers w:val="0"/>
                    <w:jc w:val="center"/>
                    <w:textAlignment w:val="center"/>
                    <w:rPr>
                      <w:rFonts w:hint="default" w:ascii="Times New Roman" w:hAnsi="Times New Roman" w:eastAsia="宋体" w:cs="Times New Roman"/>
                      <w:color w:val="000000" w:themeColor="text1"/>
                      <w:kern w:val="28"/>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29</w:t>
                  </w:r>
                </w:p>
              </w:tc>
              <w:tc>
                <w:tcPr>
                  <w:tcW w:w="577" w:type="dxa"/>
                  <w:noWrap w:val="0"/>
                  <w:vAlign w:val="center"/>
                </w:tcPr>
                <w:p w14:paraId="5F100745">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215</w:t>
                  </w:r>
                </w:p>
              </w:tc>
              <w:tc>
                <w:tcPr>
                  <w:tcW w:w="738" w:type="dxa"/>
                  <w:noWrap w:val="0"/>
                  <w:vAlign w:val="center"/>
                </w:tcPr>
                <w:p w14:paraId="736B890B">
                  <w:pPr>
                    <w:keepNext w:val="0"/>
                    <w:keepLines w:val="0"/>
                    <w:widowControl/>
                    <w:suppressLineNumbers w:val="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23</w:t>
                  </w:r>
                </w:p>
              </w:tc>
            </w:tr>
            <w:tr w14:paraId="364BBD31">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760" w:type="dxa"/>
                  <w:gridSpan w:val="4"/>
                  <w:noWrap w:val="0"/>
                  <w:vAlign w:val="center"/>
                </w:tcPr>
                <w:p w14:paraId="6D1BF3FA">
                  <w:pPr>
                    <w:adjustRightInd w:val="0"/>
                    <w:snapToGrid w:val="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厂界贡献值</w:t>
                  </w:r>
                </w:p>
              </w:tc>
              <w:tc>
                <w:tcPr>
                  <w:tcW w:w="1268" w:type="dxa"/>
                  <w:gridSpan w:val="2"/>
                  <w:noWrap w:val="0"/>
                  <w:vAlign w:val="center"/>
                </w:tcPr>
                <w:p w14:paraId="6B5D6E9C">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52</w:t>
                  </w:r>
                </w:p>
              </w:tc>
              <w:tc>
                <w:tcPr>
                  <w:tcW w:w="1283" w:type="dxa"/>
                  <w:gridSpan w:val="2"/>
                  <w:noWrap w:val="0"/>
                  <w:vAlign w:val="center"/>
                </w:tcPr>
                <w:p w14:paraId="14F74360">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46</w:t>
                  </w:r>
                </w:p>
              </w:tc>
              <w:tc>
                <w:tcPr>
                  <w:tcW w:w="1316" w:type="dxa"/>
                  <w:gridSpan w:val="2"/>
                  <w:noWrap w:val="0"/>
                  <w:vAlign w:val="center"/>
                </w:tcPr>
                <w:p w14:paraId="01837F88">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57</w:t>
                  </w:r>
                </w:p>
              </w:tc>
              <w:tc>
                <w:tcPr>
                  <w:tcW w:w="1315" w:type="dxa"/>
                  <w:gridSpan w:val="2"/>
                  <w:noWrap w:val="0"/>
                  <w:vAlign w:val="center"/>
                </w:tcPr>
                <w:p w14:paraId="4EB5B73C">
                  <w:pPr>
                    <w:jc w:val="center"/>
                    <w:rPr>
                      <w:rFonts w:hint="default"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8"/>
                      <w:sz w:val="21"/>
                      <w:szCs w:val="21"/>
                      <w:highlight w:val="none"/>
                      <w:lang w:val="en-US" w:eastAsia="zh-CN" w:bidi="ar-SA"/>
                      <w14:textFill>
                        <w14:solidFill>
                          <w14:schemeClr w14:val="tx1"/>
                        </w14:solidFill>
                      </w14:textFill>
                    </w:rPr>
                    <w:t>47</w:t>
                  </w:r>
                </w:p>
              </w:tc>
            </w:tr>
            <w:tr w14:paraId="40EB64B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760" w:type="dxa"/>
                  <w:gridSpan w:val="4"/>
                  <w:noWrap w:val="0"/>
                  <w:vAlign w:val="center"/>
                </w:tcPr>
                <w:p w14:paraId="20E0721C">
                  <w:pPr>
                    <w:adjustRightInd w:val="0"/>
                    <w:snapToGrid w:val="0"/>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标准值</w:t>
                  </w:r>
                </w:p>
              </w:tc>
              <w:tc>
                <w:tcPr>
                  <w:tcW w:w="3867" w:type="dxa"/>
                  <w:gridSpan w:val="6"/>
                  <w:noWrap w:val="0"/>
                  <w:vAlign w:val="center"/>
                </w:tcPr>
                <w:p w14:paraId="08B54B81">
                  <w:pPr>
                    <w:jc w:val="center"/>
                    <w:rPr>
                      <w:rFonts w:hint="eastAsia" w:ascii="Times New Roman" w:hAnsi="Times New Roman" w:eastAsia="宋体" w:cs="Times New Roman"/>
                      <w:color w:val="000000" w:themeColor="text1"/>
                      <w:kern w:val="28"/>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昼间≤</w:t>
                  </w: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65</w:t>
                  </w:r>
                  <w:r>
                    <w:rPr>
                      <w:rFonts w:hint="default" w:ascii="Times New Roman" w:hAnsi="Times New Roman" w:eastAsia="宋体" w:cs="Times New Roman"/>
                      <w:color w:val="000000" w:themeColor="text1"/>
                      <w:szCs w:val="21"/>
                      <w:highlight w:val="none"/>
                      <w14:textFill>
                        <w14:solidFill>
                          <w14:schemeClr w14:val="tx1"/>
                        </w14:solidFill>
                      </w14:textFill>
                    </w:rPr>
                    <w:t>dB（A）</w:t>
                  </w:r>
                  <w:r>
                    <w:rPr>
                      <w:rFonts w:hint="eastAsia" w:ascii="Times New Roman" w:hAnsi="Times New Roman" w:eastAsia="宋体" w:cs="Times New Roman"/>
                      <w:color w:val="000000" w:themeColor="text1"/>
                      <w:szCs w:val="21"/>
                      <w:highlight w:val="none"/>
                      <w:lang w:eastAsia="zh-CN"/>
                      <w14:textFill>
                        <w14:solidFill>
                          <w14:schemeClr w14:val="tx1"/>
                        </w14:solidFill>
                      </w14:textFill>
                    </w:rPr>
                    <w:t>；夜</w:t>
                  </w:r>
                  <w:r>
                    <w:rPr>
                      <w:rFonts w:hint="default" w:ascii="Times New Roman" w:hAnsi="Times New Roman" w:eastAsia="宋体" w:cs="Times New Roman"/>
                      <w:color w:val="000000" w:themeColor="text1"/>
                      <w:szCs w:val="21"/>
                      <w:highlight w:val="none"/>
                      <w14:textFill>
                        <w14:solidFill>
                          <w14:schemeClr w14:val="tx1"/>
                        </w14:solidFill>
                      </w14:textFill>
                    </w:rPr>
                    <w:t>间≤</w:t>
                  </w: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55</w:t>
                  </w:r>
                  <w:r>
                    <w:rPr>
                      <w:rFonts w:hint="default" w:ascii="Times New Roman" w:hAnsi="Times New Roman" w:eastAsia="宋体" w:cs="Times New Roman"/>
                      <w:color w:val="000000" w:themeColor="text1"/>
                      <w:szCs w:val="21"/>
                      <w:highlight w:val="none"/>
                      <w14:textFill>
                        <w14:solidFill>
                          <w14:schemeClr w14:val="tx1"/>
                        </w14:solidFill>
                      </w14:textFill>
                    </w:rPr>
                    <w:t>dB（A）</w:t>
                  </w:r>
                </w:p>
              </w:tc>
              <w:tc>
                <w:tcPr>
                  <w:tcW w:w="1315" w:type="dxa"/>
                  <w:gridSpan w:val="2"/>
                  <w:noWrap w:val="0"/>
                  <w:vAlign w:val="center"/>
                </w:tcPr>
                <w:p w14:paraId="54C686B0">
                  <w:pPr>
                    <w:jc w:val="center"/>
                    <w:rPr>
                      <w:rFonts w:hint="default" w:ascii="Times New Roman" w:hAnsi="Times New Roman" w:eastAsia="宋体" w:cs="Times New Roman"/>
                      <w:color w:val="000000" w:themeColor="text1"/>
                      <w:szCs w:val="21"/>
                      <w:highlight w:val="none"/>
                      <w14:textFill>
                        <w14:solidFill>
                          <w14:schemeClr w14:val="tx1"/>
                        </w14:solidFill>
                      </w14:textFill>
                    </w:rPr>
                  </w:pPr>
                </w:p>
              </w:tc>
            </w:tr>
          </w:tbl>
          <w:p w14:paraId="34A39D2C">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由上表预测结果可以看出，项目运营期各噪声源经降噪措施处理后，四厂界噪声均满足《工业企业厂界环境噪声排放标准》（GB12348-2008）</w:t>
            </w:r>
            <w:r>
              <w:rPr>
                <w:rFonts w:hint="eastAsia"/>
                <w:color w:val="000000" w:themeColor="text1"/>
                <w:sz w:val="24"/>
                <w:szCs w:val="24"/>
                <w:highlight w:val="none"/>
                <w:lang w:val="en-US" w:eastAsia="zh-CN"/>
                <w14:textFill>
                  <w14:solidFill>
                    <w14:schemeClr w14:val="tx1"/>
                  </w14:solidFill>
                </w14:textFill>
              </w:rPr>
              <w:t>3</w:t>
            </w:r>
            <w:r>
              <w:rPr>
                <w:rFonts w:hint="eastAsia"/>
                <w:color w:val="000000" w:themeColor="text1"/>
                <w:sz w:val="24"/>
                <w:szCs w:val="24"/>
                <w:highlight w:val="none"/>
                <w14:textFill>
                  <w14:solidFill>
                    <w14:schemeClr w14:val="tx1"/>
                  </w14:solidFill>
                </w14:textFill>
              </w:rPr>
              <w:t>类标准（昼间：</w:t>
            </w:r>
            <w:r>
              <w:rPr>
                <w:rFonts w:hint="eastAsia"/>
                <w:color w:val="000000" w:themeColor="text1"/>
                <w:sz w:val="24"/>
                <w:szCs w:val="24"/>
                <w:highlight w:val="none"/>
                <w:lang w:val="en-US" w:eastAsia="zh-CN"/>
                <w14:textFill>
                  <w14:solidFill>
                    <w14:schemeClr w14:val="tx1"/>
                  </w14:solidFill>
                </w14:textFill>
              </w:rPr>
              <w:t>65</w:t>
            </w:r>
            <w:r>
              <w:rPr>
                <w:rFonts w:hint="eastAsia"/>
                <w:color w:val="000000" w:themeColor="text1"/>
                <w:sz w:val="24"/>
                <w:szCs w:val="24"/>
                <w:highlight w:val="none"/>
                <w14:textFill>
                  <w14:solidFill>
                    <w14:schemeClr w14:val="tx1"/>
                  </w14:solidFill>
                </w14:textFill>
              </w:rPr>
              <w:t>dB（A）</w:t>
            </w:r>
            <w:r>
              <w:rPr>
                <w:rFonts w:hint="eastAsia"/>
                <w:color w:val="000000" w:themeColor="text1"/>
                <w:sz w:val="24"/>
                <w:szCs w:val="24"/>
                <w:highlight w:val="none"/>
                <w:lang w:eastAsia="zh-CN"/>
                <w14:textFill>
                  <w14:solidFill>
                    <w14:schemeClr w14:val="tx1"/>
                  </w14:solidFill>
                </w14:textFill>
              </w:rPr>
              <w:t>、夜间</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55</w:t>
            </w:r>
            <w:r>
              <w:rPr>
                <w:rFonts w:hint="eastAsia"/>
                <w:color w:val="000000" w:themeColor="text1"/>
                <w:sz w:val="24"/>
                <w:szCs w:val="24"/>
                <w:highlight w:val="none"/>
                <w14:textFill>
                  <w14:solidFill>
                    <w14:schemeClr w14:val="tx1"/>
                  </w14:solidFill>
                </w14:textFill>
              </w:rPr>
              <w:t>dB（A））的限值要求。</w:t>
            </w:r>
          </w:p>
          <w:p w14:paraId="7DC67A3D">
            <w:pPr>
              <w:keepNext w:val="0"/>
              <w:keepLines w:val="0"/>
              <w:pageBreakBefore w:val="0"/>
              <w:widowControl w:val="0"/>
              <w:kinsoku/>
              <w:wordWrap w:val="0"/>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运输过程中对周围环境的影响评价</w:t>
            </w:r>
          </w:p>
          <w:p w14:paraId="592F1224">
            <w:pPr>
              <w:keepNext w:val="0"/>
              <w:keepLines w:val="0"/>
              <w:pageBreakBefore w:val="0"/>
              <w:widowControl w:val="0"/>
              <w:kinsoku/>
              <w:wordWrap w:val="0"/>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根据项目运输路线，运输道路均为己硬化道路，运输线路</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50m</w:t>
            </w:r>
            <w:r>
              <w:rPr>
                <w:rFonts w:hint="default" w:ascii="Times New Roman" w:hAnsi="Times New Roman" w:eastAsia="宋体" w:cs="Times New Roman"/>
                <w:color w:val="000000" w:themeColor="text1"/>
                <w:sz w:val="24"/>
                <w:szCs w:val="24"/>
                <w:highlight w:val="none"/>
                <w14:textFill>
                  <w14:solidFill>
                    <w14:schemeClr w14:val="tx1"/>
                  </w14:solidFill>
                </w14:textFill>
              </w:rPr>
              <w:t>范围内存在居民点，车辆运输过程中会产生一定的噪声影响，由于运输道路处于空旷环境中，运输过程中尽量减少汽车的鸣笛、</w:t>
            </w:r>
            <w:r>
              <w:rPr>
                <w:rFonts w:ascii="宋体" w:hAnsi="宋体" w:eastAsia="宋体" w:cs="宋体"/>
                <w:sz w:val="24"/>
                <w:szCs w:val="24"/>
              </w:rPr>
              <w:t>采取</w:t>
            </w:r>
            <w:r>
              <w:rPr>
                <w:rFonts w:hint="default" w:ascii="Times New Roman" w:hAnsi="Times New Roman" w:eastAsia="宋体" w:cs="Times New Roman"/>
                <w:color w:val="000000" w:themeColor="text1"/>
                <w:sz w:val="24"/>
                <w:szCs w:val="24"/>
                <w:highlight w:val="none"/>
                <w14:textFill>
                  <w14:solidFill>
                    <w14:schemeClr w14:val="tx1"/>
                  </w14:solidFill>
                </w14:textFill>
              </w:rPr>
              <w:t>必要的管理措施，如限速在</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30km/h</w:t>
            </w:r>
            <w:r>
              <w:rPr>
                <w:rFonts w:hint="default" w:ascii="Times New Roman" w:hAnsi="Times New Roman" w:eastAsia="宋体" w:cs="Times New Roman"/>
                <w:color w:val="000000" w:themeColor="text1"/>
                <w:sz w:val="24"/>
                <w:szCs w:val="24"/>
                <w:highlight w:val="none"/>
                <w14:textFill>
                  <w14:solidFill>
                    <w14:schemeClr w14:val="tx1"/>
                  </w14:solidFill>
                </w14:textFill>
              </w:rPr>
              <w:t>以内</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避免车辆在行驶中产生意外噪声。</w:t>
            </w:r>
          </w:p>
          <w:p w14:paraId="218D360C">
            <w:pPr>
              <w:keepNext w:val="0"/>
              <w:keepLines w:val="0"/>
              <w:pageBreakBefore w:val="0"/>
              <w:widowControl w:val="0"/>
              <w:kinsoku/>
              <w:wordWrap w:val="0"/>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szCs w:val="22"/>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2"/>
                <w:highlight w:val="none"/>
                <w:lang w:val="en-US" w:eastAsia="zh-CN"/>
                <w14:textFill>
                  <w14:solidFill>
                    <w14:schemeClr w14:val="tx1"/>
                  </w14:solidFill>
                </w14:textFill>
              </w:rPr>
              <w:t>其他管理要求</w:t>
            </w:r>
          </w:p>
          <w:p w14:paraId="2077ADD0">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sz w:val="24"/>
                <w:szCs w:val="24"/>
                <w:highlight w:val="none"/>
                <w14:textFill>
                  <w14:solidFill>
                    <w14:schemeClr w14:val="tx1"/>
                  </w14:solidFill>
                </w14:textFill>
              </w:rPr>
              <w:t>本项目产噪设备较多，在正常情况下，经估算对外环境影响较小，但如出现设备故障运行导致噪声加大，设备噪声与车辆运行噪声叠加等情况，可能导致厂界外声环</w:t>
            </w:r>
            <w:r>
              <w:rPr>
                <w:rFonts w:hint="default" w:ascii="Times New Roman" w:hAnsi="Times New Roman" w:eastAsia="宋体" w:cs="Times New Roman"/>
                <w:color w:val="000000" w:themeColor="text1"/>
                <w:sz w:val="24"/>
                <w:szCs w:val="24"/>
                <w:highlight w:val="none"/>
                <w14:textFill>
                  <w14:solidFill>
                    <w14:schemeClr w14:val="tx1"/>
                  </w14:solidFill>
                </w14:textFill>
              </w:rPr>
              <w:t>境达不到《声环境质量标准》（GB3096-2008）2类标准。为此，本评价对可能出现有噪声超标风险提出如下</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要求</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p>
          <w:p w14:paraId="7914B4CE">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防治</w:t>
            </w:r>
            <w:r>
              <w:rPr>
                <w:rFonts w:hint="default" w:ascii="Times New Roman" w:hAnsi="Times New Roman" w:eastAsia="宋体" w:cs="Times New Roman"/>
                <w:color w:val="000000" w:themeColor="text1"/>
                <w:sz w:val="24"/>
                <w:szCs w:val="24"/>
                <w:highlight w:val="none"/>
                <w14:textFill>
                  <w14:solidFill>
                    <w14:schemeClr w14:val="tx1"/>
                  </w14:solidFill>
                </w14:textFill>
              </w:rPr>
              <w:t>噪声的基本要求：</w:t>
            </w:r>
          </w:p>
          <w:p w14:paraId="19362E2F">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a </w:t>
            </w:r>
            <w:r>
              <w:rPr>
                <w:rFonts w:hint="default" w:ascii="Times New Roman" w:hAnsi="Times New Roman" w:eastAsia="宋体" w:cs="Times New Roman"/>
                <w:color w:val="000000" w:themeColor="text1"/>
                <w:sz w:val="24"/>
                <w:szCs w:val="24"/>
                <w:highlight w:val="none"/>
                <w14:textFill>
                  <w14:solidFill>
                    <w14:schemeClr w14:val="tx1"/>
                  </w14:solidFill>
                </w14:textFill>
              </w:rPr>
              <w:t>外环境噪声达到《声环境质量标准》（GB3096-2008）2类标准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p>
          <w:p w14:paraId="0E77FF62">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b </w:t>
            </w:r>
            <w:r>
              <w:rPr>
                <w:rFonts w:hint="default" w:ascii="Times New Roman" w:hAnsi="Times New Roman" w:eastAsia="宋体" w:cs="Times New Roman"/>
                <w:color w:val="000000" w:themeColor="text1"/>
                <w:sz w:val="24"/>
                <w:szCs w:val="24"/>
                <w:highlight w:val="none"/>
                <w14:textFill>
                  <w14:solidFill>
                    <w14:schemeClr w14:val="tx1"/>
                  </w14:solidFill>
                </w14:textFill>
              </w:rPr>
              <w:t>作业场所噪声达到《工业企业厂界环境噪声排放标准》（</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GB12348-2008</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TimesNewRomanPSMT" w:cs="Times New Roman"/>
                <w:color w:val="000000" w:themeColor="text1"/>
                <w:sz w:val="24"/>
                <w:szCs w:val="24"/>
                <w:highlight w:val="none"/>
                <w14:textFill>
                  <w14:solidFill>
                    <w14:schemeClr w14:val="tx1"/>
                  </w14:solidFill>
                </w14:textFill>
              </w:rPr>
              <w:t>2</w:t>
            </w:r>
            <w:r>
              <w:rPr>
                <w:rFonts w:hint="default" w:ascii="Times New Roman" w:hAnsi="Times New Roman" w:eastAsia="宋体" w:cs="Times New Roman"/>
                <w:color w:val="000000" w:themeColor="text1"/>
                <w:sz w:val="24"/>
                <w:szCs w:val="24"/>
                <w:highlight w:val="none"/>
                <w14:textFill>
                  <w14:solidFill>
                    <w14:schemeClr w14:val="tx1"/>
                  </w14:solidFill>
                </w14:textFill>
              </w:rPr>
              <w:t>类标准。</w:t>
            </w:r>
          </w:p>
          <w:p w14:paraId="1C8C7A21">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B</w:t>
            </w:r>
            <w:r>
              <w:rPr>
                <w:rFonts w:hint="default" w:ascii="Times New Roman" w:hAnsi="Times New Roman" w:eastAsia="宋体" w:cs="Times New Roman"/>
                <w:color w:val="000000" w:themeColor="text1"/>
                <w:sz w:val="24"/>
                <w:szCs w:val="24"/>
                <w:highlight w:val="none"/>
                <w14:textFill>
                  <w14:solidFill>
                    <w14:schemeClr w14:val="tx1"/>
                  </w14:solidFill>
                </w14:textFill>
              </w:rPr>
              <w:t>、噪声防治措施：</w:t>
            </w:r>
          </w:p>
          <w:p w14:paraId="40B013B0">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a </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运营期间对生产设备定期检修，使其</w:t>
            </w:r>
            <w:r>
              <w:rPr>
                <w:rFonts w:hint="default" w:ascii="Times New Roman" w:hAnsi="Times New Roman" w:eastAsia="宋体" w:cs="Times New Roman"/>
                <w:color w:val="000000" w:themeColor="text1"/>
                <w:sz w:val="24"/>
                <w:szCs w:val="24"/>
                <w:highlight w:val="none"/>
                <w14:textFill>
                  <w14:solidFill>
                    <w14:schemeClr w14:val="tx1"/>
                  </w14:solidFill>
                </w14:textFill>
              </w:rPr>
              <w:t>保持设备良好运行状态，禁止故障运行。</w:t>
            </w:r>
          </w:p>
          <w:p w14:paraId="4C44C9BE">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b </w:t>
            </w:r>
            <w:r>
              <w:rPr>
                <w:rFonts w:hint="default" w:ascii="Times New Roman" w:hAnsi="Times New Roman" w:eastAsia="宋体" w:cs="Times New Roman"/>
                <w:color w:val="000000" w:themeColor="text1"/>
                <w:sz w:val="24"/>
                <w:szCs w:val="24"/>
                <w:highlight w:val="none"/>
                <w14:textFill>
                  <w14:solidFill>
                    <w14:schemeClr w14:val="tx1"/>
                  </w14:solidFill>
                </w14:textFill>
              </w:rPr>
              <w:t>物流控制：项目物流量较大，在生产过程中，应安排在昼时进行物流作业，减少噪声叠加影响。在临近敏感目标区域，应减速慢行。</w:t>
            </w:r>
          </w:p>
          <w:p w14:paraId="012227B7">
            <w:pPr>
              <w:keepNext w:val="0"/>
              <w:keepLines w:val="0"/>
              <w:pageBreakBefore w:val="0"/>
              <w:widowControl w:val="0"/>
              <w:kinsoku/>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c </w:t>
            </w:r>
            <w:r>
              <w:rPr>
                <w:rFonts w:hint="default" w:ascii="Times New Roman" w:hAnsi="Times New Roman" w:eastAsia="宋体" w:cs="Times New Roman"/>
                <w:color w:val="000000" w:themeColor="text1"/>
                <w:sz w:val="24"/>
                <w:szCs w:val="24"/>
                <w:highlight w:val="none"/>
                <w14:textFill>
                  <w14:solidFill>
                    <w14:schemeClr w14:val="tx1"/>
                  </w14:solidFill>
                </w14:textFill>
              </w:rPr>
              <w:t>对高噪声作业场所工作人员，应定期轮换岗位，配备防噪耳塞，减少连续作业时间，以减轻对人员健康的危害。</w:t>
            </w:r>
          </w:p>
          <w:p w14:paraId="6F9A38D7">
            <w:pPr>
              <w:pStyle w:val="10"/>
              <w:keepNext w:val="0"/>
              <w:keepLines w:val="0"/>
              <w:pageBreakBefore w:val="0"/>
              <w:widowControl w:val="0"/>
              <w:kinsoku/>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b/>
                <w:bCs/>
                <w:color w:val="000000" w:themeColor="text1"/>
                <w:sz w:val="24"/>
                <w:szCs w:val="24"/>
                <w:highlight w:val="none"/>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 xml:space="preserve">d </w:t>
            </w:r>
            <w:r>
              <w:rPr>
                <w:rFonts w:hint="default" w:ascii="Times New Roman" w:hAnsi="Times New Roman" w:eastAsia="宋体" w:cs="Times New Roman"/>
                <w:color w:val="000000" w:themeColor="text1"/>
                <w:sz w:val="24"/>
                <w:szCs w:val="24"/>
                <w:highlight w:val="none"/>
                <w14:textFill>
                  <w14:solidFill>
                    <w14:schemeClr w14:val="tx1"/>
                  </w14:solidFill>
                </w14:textFill>
              </w:rPr>
              <w:t>如出现环境噪声超标时，应尽快查清超标噪声来源，停机处理。如在生产过程中出现连续性多时段噪声超标，应查清是否存在设备布置、安装问题，针对问题调整设备安装位置，增加降噪措施。</w:t>
            </w:r>
          </w:p>
          <w:p w14:paraId="7B98766D">
            <w:pPr>
              <w:pStyle w:val="10"/>
              <w:keepNext w:val="0"/>
              <w:keepLines w:val="0"/>
              <w:pageBreakBefore w:val="0"/>
              <w:widowControl w:val="0"/>
              <w:kinsoku/>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4、监测计划</w:t>
            </w:r>
          </w:p>
          <w:p w14:paraId="5E43AA10">
            <w:pPr>
              <w:pStyle w:val="10"/>
              <w:keepNext w:val="0"/>
              <w:keepLines w:val="0"/>
              <w:pageBreakBefore w:val="0"/>
              <w:widowControl w:val="0"/>
              <w:kinsoku/>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根据项目噪声产排情况，建设单位应当委托当地监测站或有资质单位进行如下噪声监测。</w:t>
            </w:r>
          </w:p>
          <w:p w14:paraId="3A10C238">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14</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噪声监测计划</w:t>
            </w:r>
          </w:p>
          <w:tbl>
            <w:tblPr>
              <w:tblStyle w:val="20"/>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40"/>
              <w:gridCol w:w="1294"/>
              <w:gridCol w:w="1132"/>
              <w:gridCol w:w="1413"/>
              <w:gridCol w:w="3357"/>
            </w:tblGrid>
            <w:tr w14:paraId="6F4287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466" w:type="pct"/>
                  <w:tcBorders>
                    <w:tl2br w:val="nil"/>
                    <w:tr2bl w:val="nil"/>
                  </w:tcBorders>
                  <w:vAlign w:val="center"/>
                </w:tcPr>
                <w:p w14:paraId="126823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类型</w:t>
                  </w:r>
                </w:p>
              </w:tc>
              <w:tc>
                <w:tcPr>
                  <w:tcW w:w="815" w:type="pct"/>
                  <w:tcBorders>
                    <w:tl2br w:val="nil"/>
                    <w:tr2bl w:val="nil"/>
                  </w:tcBorders>
                  <w:vAlign w:val="center"/>
                </w:tcPr>
                <w:p w14:paraId="4987A6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监测点位</w:t>
                  </w:r>
                </w:p>
              </w:tc>
              <w:tc>
                <w:tcPr>
                  <w:tcW w:w="713" w:type="pct"/>
                  <w:tcBorders>
                    <w:tl2br w:val="nil"/>
                    <w:tr2bl w:val="nil"/>
                  </w:tcBorders>
                  <w:vAlign w:val="center"/>
                </w:tcPr>
                <w:p w14:paraId="486F53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监测因子</w:t>
                  </w:r>
                </w:p>
              </w:tc>
              <w:tc>
                <w:tcPr>
                  <w:tcW w:w="890" w:type="pct"/>
                  <w:tcBorders>
                    <w:tl2br w:val="nil"/>
                    <w:tr2bl w:val="nil"/>
                  </w:tcBorders>
                  <w:vAlign w:val="center"/>
                </w:tcPr>
                <w:p w14:paraId="64B8501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监测频次</w:t>
                  </w:r>
                </w:p>
              </w:tc>
              <w:tc>
                <w:tcPr>
                  <w:tcW w:w="2115" w:type="pct"/>
                  <w:tcBorders>
                    <w:tl2br w:val="nil"/>
                    <w:tr2bl w:val="nil"/>
                  </w:tcBorders>
                  <w:vAlign w:val="center"/>
                </w:tcPr>
                <w:p w14:paraId="6E5CEC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执行标准</w:t>
                  </w:r>
                </w:p>
              </w:tc>
            </w:tr>
            <w:tr w14:paraId="2DF56A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466" w:type="pct"/>
                  <w:tcBorders>
                    <w:tl2br w:val="nil"/>
                    <w:tr2bl w:val="nil"/>
                  </w:tcBorders>
                  <w:vAlign w:val="center"/>
                </w:tcPr>
                <w:p w14:paraId="7B8E0F2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噪声</w:t>
                  </w:r>
                </w:p>
              </w:tc>
              <w:tc>
                <w:tcPr>
                  <w:tcW w:w="815" w:type="pct"/>
                  <w:tcBorders>
                    <w:tl2br w:val="nil"/>
                    <w:tr2bl w:val="nil"/>
                  </w:tcBorders>
                  <w:vAlign w:val="center"/>
                </w:tcPr>
                <w:p w14:paraId="0D01FA7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项目</w:t>
                  </w:r>
                  <w:r>
                    <w:rPr>
                      <w:rFonts w:hint="eastAsia" w:ascii="Times New Roman" w:hAnsi="Times New Roman" w:eastAsia="宋体"/>
                      <w:color w:val="000000" w:themeColor="text1"/>
                      <w:szCs w:val="21"/>
                      <w:highlight w:val="none"/>
                      <w14:textFill>
                        <w14:solidFill>
                          <w14:schemeClr w14:val="tx1"/>
                        </w14:solidFill>
                      </w14:textFill>
                    </w:rPr>
                    <w:t>厂界</w:t>
                  </w:r>
                </w:p>
              </w:tc>
              <w:tc>
                <w:tcPr>
                  <w:tcW w:w="713" w:type="pct"/>
                  <w:tcBorders>
                    <w:tl2br w:val="nil"/>
                    <w:tr2bl w:val="nil"/>
                  </w:tcBorders>
                  <w:vAlign w:val="center"/>
                </w:tcPr>
                <w:p w14:paraId="2910F36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Leq（A）</w:t>
                  </w:r>
                </w:p>
              </w:tc>
              <w:tc>
                <w:tcPr>
                  <w:tcW w:w="890" w:type="pct"/>
                  <w:tcBorders>
                    <w:tl2br w:val="nil"/>
                    <w:tr2bl w:val="nil"/>
                  </w:tcBorders>
                  <w:vAlign w:val="center"/>
                </w:tcPr>
                <w:p w14:paraId="67DBA7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1次/季</w:t>
                  </w:r>
                </w:p>
                <w:p w14:paraId="5D747A3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（服务期内）</w:t>
                  </w:r>
                </w:p>
              </w:tc>
              <w:tc>
                <w:tcPr>
                  <w:tcW w:w="2115" w:type="pct"/>
                  <w:tcBorders>
                    <w:tl2br w:val="nil"/>
                    <w:tr2bl w:val="nil"/>
                  </w:tcBorders>
                  <w:vAlign w:val="center"/>
                </w:tcPr>
                <w:p w14:paraId="4B5CFA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《工业企业厂界环境噪声排放标准》（GB12348-2008）中</w:t>
                  </w:r>
                  <w:r>
                    <w:rPr>
                      <w:rFonts w:hint="eastAsia" w:ascii="Times New Roman" w:hAnsi="Times New Roman" w:eastAsia="宋体"/>
                      <w:color w:val="000000" w:themeColor="text1"/>
                      <w:szCs w:val="21"/>
                      <w:highlight w:val="none"/>
                      <w:lang w:val="en-US" w:eastAsia="zh-CN"/>
                      <w14:textFill>
                        <w14:solidFill>
                          <w14:schemeClr w14:val="tx1"/>
                        </w14:solidFill>
                      </w14:textFill>
                    </w:rPr>
                    <w:t>3</w:t>
                  </w:r>
                  <w:r>
                    <w:rPr>
                      <w:rFonts w:ascii="Times New Roman" w:hAnsi="Times New Roman" w:eastAsia="宋体"/>
                      <w:color w:val="000000" w:themeColor="text1"/>
                      <w:szCs w:val="21"/>
                      <w:highlight w:val="none"/>
                      <w14:textFill>
                        <w14:solidFill>
                          <w14:schemeClr w14:val="tx1"/>
                        </w14:solidFill>
                      </w14:textFill>
                    </w:rPr>
                    <w:t>类标准</w:t>
                  </w:r>
                </w:p>
              </w:tc>
            </w:tr>
          </w:tbl>
          <w:p w14:paraId="778752F2">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四、固体废物</w:t>
            </w:r>
          </w:p>
          <w:p w14:paraId="5BBA879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项目运营期产生的固体废物主要是废气处理设施收尘系统收集的粉尘，废水处理设施沉淀池产生的</w:t>
            </w:r>
            <w:r>
              <w:rPr>
                <w:rFonts w:hint="eastAsia"/>
                <w:color w:val="000000" w:themeColor="text1"/>
                <w:sz w:val="24"/>
                <w:szCs w:val="24"/>
                <w:highlight w:val="none"/>
                <w:lang w:eastAsia="zh-CN"/>
                <w14:textFill>
                  <w14:solidFill>
                    <w14:schemeClr w14:val="tx1"/>
                  </w14:solidFill>
                </w14:textFill>
              </w:rPr>
              <w:t>污泥</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实验室硬化混凝土块，钢筋切割边角废料，生活垃圾，车辆冲洗池隔油设施废油，</w:t>
            </w:r>
            <w:r>
              <w:rPr>
                <w:rFonts w:hint="eastAsia"/>
                <w:color w:val="000000" w:themeColor="text1"/>
                <w:sz w:val="24"/>
                <w:szCs w:val="24"/>
                <w:highlight w:val="none"/>
                <w14:textFill>
                  <w14:solidFill>
                    <w14:schemeClr w14:val="tx1"/>
                  </w14:solidFill>
                </w14:textFill>
              </w:rPr>
              <w:t>设备检维修时产生的废机油和含油</w:t>
            </w:r>
            <w:r>
              <w:rPr>
                <w:rFonts w:hint="eastAsia"/>
                <w:color w:val="000000" w:themeColor="text1"/>
                <w:sz w:val="24"/>
                <w:szCs w:val="24"/>
                <w:highlight w:val="none"/>
                <w:lang w:eastAsia="zh-CN"/>
                <w14:textFill>
                  <w14:solidFill>
                    <w14:schemeClr w14:val="tx1"/>
                  </w14:solidFill>
                </w14:textFill>
              </w:rPr>
              <w:t>废棉纱、</w:t>
            </w:r>
            <w:r>
              <w:rPr>
                <w:rFonts w:hint="eastAsia"/>
                <w:color w:val="000000" w:themeColor="text1"/>
                <w:sz w:val="24"/>
                <w:szCs w:val="24"/>
                <w:highlight w:val="none"/>
                <w14:textFill>
                  <w14:solidFill>
                    <w14:schemeClr w14:val="tx1"/>
                  </w14:solidFill>
                </w14:textFill>
              </w:rPr>
              <w:t>手套等。</w:t>
            </w:r>
          </w:p>
          <w:p w14:paraId="7126F9B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1、产生情况及治理措施</w:t>
            </w:r>
          </w:p>
          <w:p w14:paraId="7888ECF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（1）收尘系统收集的粉尘</w:t>
            </w:r>
          </w:p>
          <w:p w14:paraId="6074EC7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根据前面“运营期环境影响和保护措施”中分析，除尘器粉尘收集量为</w:t>
            </w:r>
            <w:r>
              <w:rPr>
                <w:rFonts w:hint="eastAsia"/>
                <w:color w:val="000000" w:themeColor="text1"/>
                <w:sz w:val="24"/>
                <w:szCs w:val="24"/>
                <w:highlight w:val="none"/>
                <w:lang w:val="en-US" w:eastAsia="zh-CN"/>
                <w14:textFill>
                  <w14:solidFill>
                    <w14:schemeClr w14:val="tx1"/>
                  </w14:solidFill>
                </w14:textFill>
              </w:rPr>
              <w:t>58.58</w:t>
            </w:r>
            <w:r>
              <w:rPr>
                <w:rFonts w:hint="eastAsia"/>
                <w:color w:val="000000" w:themeColor="text1"/>
                <w:sz w:val="24"/>
                <w:szCs w:val="24"/>
                <w:highlight w:val="none"/>
                <w14:textFill>
                  <w14:solidFill>
                    <w14:schemeClr w14:val="tx1"/>
                  </w14:solidFill>
                </w14:textFill>
              </w:rPr>
              <w:t>t/a</w:t>
            </w:r>
            <w:r>
              <w:rPr>
                <w:rFonts w:hint="eastAsia"/>
                <w:color w:val="000000" w:themeColor="text1"/>
                <w:sz w:val="24"/>
                <w:szCs w:val="24"/>
                <w:highlight w:val="none"/>
                <w:lang w:eastAsia="zh-CN"/>
                <w14:textFill>
                  <w14:solidFill>
                    <w14:schemeClr w14:val="tx1"/>
                  </w14:solidFill>
                </w14:textFill>
              </w:rPr>
              <w:t>，收集后返回生产系统。</w:t>
            </w:r>
          </w:p>
          <w:p w14:paraId="094D5E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（2）沉淀池污泥</w:t>
            </w:r>
          </w:p>
          <w:p w14:paraId="4A1A46E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搅拌机</w:t>
            </w:r>
            <w:r>
              <w:rPr>
                <w:rFonts w:hint="eastAsia"/>
                <w:color w:val="000000" w:themeColor="text1"/>
                <w:sz w:val="24"/>
                <w:szCs w:val="24"/>
                <w:highlight w:val="none"/>
                <w:lang w:val="en-US" w:eastAsia="zh-CN"/>
                <w14:textFill>
                  <w14:solidFill>
                    <w14:schemeClr w14:val="tx1"/>
                  </w14:solidFill>
                </w14:textFill>
              </w:rPr>
              <w:t>/罐车/场地冲洗等生产废水中，SS产生浓度约为1500~2000</w:t>
            </w:r>
            <w:r>
              <w:rPr>
                <w:rFonts w:hint="eastAsia"/>
                <w:color w:val="000000" w:themeColor="text1"/>
                <w:sz w:val="24"/>
                <w:szCs w:val="24"/>
                <w:highlight w:val="none"/>
                <w14:textFill>
                  <w14:solidFill>
                    <w14:schemeClr w14:val="tx1"/>
                  </w14:solidFill>
                </w14:textFill>
              </w:rPr>
              <w:t>mg/L</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沉淀池沉淀后SS含量可降至</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14:textFill>
                  <w14:solidFill>
                    <w14:schemeClr w14:val="tx1"/>
                  </w14:solidFill>
                </w14:textFill>
              </w:rPr>
              <w:t>00mg/L以下，废水量为</w:t>
            </w:r>
            <w:r>
              <w:rPr>
                <w:rFonts w:hint="eastAsia"/>
                <w:color w:val="000000" w:themeColor="text1"/>
                <w:sz w:val="24"/>
                <w:szCs w:val="24"/>
                <w:highlight w:val="none"/>
                <w:lang w:val="en-US" w:eastAsia="zh-CN"/>
                <w14:textFill>
                  <w14:solidFill>
                    <w14:schemeClr w14:val="tx1"/>
                  </w14:solidFill>
                </w14:textFill>
              </w:rPr>
              <w:t>25777.5</w:t>
            </w:r>
            <w:r>
              <w:rPr>
                <w:rFonts w:hint="eastAsia"/>
                <w:color w:val="000000" w:themeColor="text1"/>
                <w:sz w:val="24"/>
                <w:szCs w:val="24"/>
                <w:highlight w:val="none"/>
                <w14:textFill>
                  <w14:solidFill>
                    <w14:schemeClr w14:val="tx1"/>
                  </w14:solidFill>
                </w14:textFill>
              </w:rPr>
              <w:t>m</w:t>
            </w:r>
            <w:r>
              <w:rPr>
                <w:rFonts w:hint="eastAsia"/>
                <w:color w:val="000000" w:themeColor="text1"/>
                <w:sz w:val="24"/>
                <w:szCs w:val="24"/>
                <w:highlight w:val="none"/>
                <w:vertAlign w:val="superscript"/>
                <w14:textFill>
                  <w14:solidFill>
                    <w14:schemeClr w14:val="tx1"/>
                  </w14:solidFill>
                </w14:textFill>
              </w:rPr>
              <w:t>3</w:t>
            </w:r>
            <w:r>
              <w:rPr>
                <w:rFonts w:hint="eastAsia"/>
                <w:color w:val="000000" w:themeColor="text1"/>
                <w:sz w:val="24"/>
                <w:szCs w:val="24"/>
                <w:highlight w:val="none"/>
                <w14:textFill>
                  <w14:solidFill>
                    <w14:schemeClr w14:val="tx1"/>
                  </w14:solidFill>
                </w14:textFill>
              </w:rPr>
              <w:t>/a，沉淀池污泥产生量为</w:t>
            </w:r>
            <w:r>
              <w:rPr>
                <w:rFonts w:hint="eastAsia"/>
                <w:color w:val="000000" w:themeColor="text1"/>
                <w:sz w:val="24"/>
                <w:szCs w:val="24"/>
                <w:highlight w:val="none"/>
                <w:lang w:val="en-US" w:eastAsia="zh-CN"/>
                <w14:textFill>
                  <w14:solidFill>
                    <w14:schemeClr w14:val="tx1"/>
                  </w14:solidFill>
                </w14:textFill>
              </w:rPr>
              <w:t>46.4</w:t>
            </w:r>
            <w:r>
              <w:rPr>
                <w:rFonts w:hint="eastAsia"/>
                <w:color w:val="000000" w:themeColor="text1"/>
                <w:sz w:val="24"/>
                <w:szCs w:val="24"/>
                <w:highlight w:val="none"/>
                <w14:textFill>
                  <w14:solidFill>
                    <w14:schemeClr w14:val="tx1"/>
                  </w14:solidFill>
                </w14:textFill>
              </w:rPr>
              <w:t>t/a，定期进行清掏，</w:t>
            </w:r>
            <w:r>
              <w:rPr>
                <w:rFonts w:hint="eastAsia"/>
                <w:color w:val="000000" w:themeColor="text1"/>
                <w:sz w:val="24"/>
                <w:szCs w:val="24"/>
                <w:highlight w:val="none"/>
                <w:lang w:eastAsia="zh-CN"/>
                <w14:textFill>
                  <w14:solidFill>
                    <w14:schemeClr w14:val="tx1"/>
                  </w14:solidFill>
                </w14:textFill>
              </w:rPr>
              <w:t>采用</w:t>
            </w:r>
            <w:r>
              <w:rPr>
                <w:rFonts w:hint="eastAsia"/>
                <w:color w:val="000000" w:themeColor="text1"/>
                <w:sz w:val="24"/>
                <w:szCs w:val="24"/>
                <w:highlight w:val="none"/>
                <w14:textFill>
                  <w14:solidFill>
                    <w14:schemeClr w14:val="tx1"/>
                  </w14:solidFill>
                </w14:textFill>
              </w:rPr>
              <w:t>压滤机进行压滤处理</w:t>
            </w:r>
            <w:r>
              <w:rPr>
                <w:rFonts w:hint="eastAsia"/>
                <w:color w:val="000000" w:themeColor="text1"/>
                <w:sz w:val="24"/>
                <w:szCs w:val="24"/>
                <w:highlight w:val="none"/>
                <w:lang w:eastAsia="zh-CN"/>
                <w14:textFill>
                  <w14:solidFill>
                    <w14:schemeClr w14:val="tx1"/>
                  </w14:solidFill>
                </w14:textFill>
              </w:rPr>
              <w:t>，泥饼</w:t>
            </w:r>
            <w:r>
              <w:rPr>
                <w:rFonts w:hint="eastAsia" w:ascii="Times New Roman" w:hAnsi="Times New Roman" w:eastAsia="宋体"/>
                <w:color w:val="000000" w:themeColor="text1"/>
                <w:sz w:val="24"/>
                <w:szCs w:val="24"/>
                <w:highlight w:val="none"/>
                <w:lang w:eastAsia="zh-CN"/>
                <w14:textFill>
                  <w14:solidFill>
                    <w14:schemeClr w14:val="tx1"/>
                  </w14:solidFill>
                </w14:textFill>
              </w:rPr>
              <w:t>收集后清运至G42线南充至成都段高速公路扩容工程弃渣场（经纬度：105.5903，30.6304）。</w:t>
            </w:r>
          </w:p>
          <w:p w14:paraId="241063E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w:t>
            </w:r>
            <w:r>
              <w:rPr>
                <w:rFonts w:hint="eastAsia"/>
                <w:color w:val="000000" w:themeColor="text1"/>
                <w:sz w:val="24"/>
                <w:szCs w:val="24"/>
                <w:highlight w:val="none"/>
                <w:lang w:eastAsia="zh-CN"/>
                <w14:textFill>
                  <w14:solidFill>
                    <w14:schemeClr w14:val="tx1"/>
                  </w14:solidFill>
                </w14:textFill>
              </w:rPr>
              <w:t>实验室硬化混凝土块</w:t>
            </w:r>
          </w:p>
          <w:p w14:paraId="3D3F3CA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根据建设单位提供资料，站区内设置混凝土检验室，对硬化后混凝土块进行检验，产生废弃混凝土块量约为</w:t>
            </w:r>
            <w:r>
              <w:rPr>
                <w:rFonts w:hint="eastAsia"/>
                <w:color w:val="000000" w:themeColor="text1"/>
                <w:sz w:val="24"/>
                <w:szCs w:val="24"/>
                <w:highlight w:val="none"/>
                <w:lang w:val="en-US" w:eastAsia="zh-CN"/>
                <w14:textFill>
                  <w14:solidFill>
                    <w14:schemeClr w14:val="tx1"/>
                  </w14:solidFill>
                </w14:textFill>
              </w:rPr>
              <w:t>2.5t/a，</w:t>
            </w:r>
            <w:r>
              <w:rPr>
                <w:rFonts w:hint="eastAsia" w:ascii="Times New Roman" w:hAnsi="Times New Roman" w:eastAsia="宋体"/>
                <w:color w:val="000000" w:themeColor="text1"/>
                <w:sz w:val="24"/>
                <w:szCs w:val="24"/>
                <w:highlight w:val="none"/>
                <w:lang w:eastAsia="zh-CN"/>
                <w14:textFill>
                  <w14:solidFill>
                    <w14:schemeClr w14:val="tx1"/>
                  </w14:solidFill>
                </w14:textFill>
              </w:rPr>
              <w:t>收集后清运至G42线南充至成都段高速公路扩容工程弃渣场（经纬度：105.5903，30.6304）。</w:t>
            </w:r>
          </w:p>
          <w:p w14:paraId="538D3D5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）钢筋切割边角废料</w:t>
            </w:r>
          </w:p>
          <w:p w14:paraId="6BF6A5F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default" w:eastAsia="宋体"/>
                <w:color w:val="000000" w:themeColor="text1"/>
                <w:sz w:val="24"/>
                <w:szCs w:val="24"/>
                <w:highlight w:val="none"/>
                <w:lang w:val="en-US"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根据建设单位提供资料，本项目钢筋加工厂内进行钢筋切割，会产生边角废料，产生量为</w:t>
            </w:r>
            <w:r>
              <w:rPr>
                <w:rFonts w:hint="eastAsia"/>
                <w:color w:val="000000" w:themeColor="text1"/>
                <w:sz w:val="24"/>
                <w:szCs w:val="24"/>
                <w:highlight w:val="none"/>
                <w:lang w:val="en-US" w:eastAsia="zh-CN"/>
                <w14:textFill>
                  <w14:solidFill>
                    <w14:schemeClr w14:val="tx1"/>
                  </w14:solidFill>
                </w14:textFill>
              </w:rPr>
              <w:t>35t/a，</w:t>
            </w:r>
            <w:r>
              <w:rPr>
                <w:rFonts w:hint="eastAsia" w:ascii="Times New Roman" w:hAnsi="Times New Roman" w:eastAsia="宋体"/>
                <w:color w:val="000000" w:themeColor="text1"/>
                <w:sz w:val="24"/>
                <w:szCs w:val="24"/>
                <w:highlight w:val="none"/>
                <w:lang w:eastAsia="zh-CN"/>
                <w14:textFill>
                  <w14:solidFill>
                    <w14:schemeClr w14:val="tx1"/>
                  </w14:solidFill>
                </w14:textFill>
              </w:rPr>
              <w:t>收集后外售至废品收购站进行综合利用</w:t>
            </w:r>
            <w:r>
              <w:rPr>
                <w:rFonts w:hint="eastAsia"/>
                <w:color w:val="000000" w:themeColor="text1"/>
                <w:sz w:val="24"/>
                <w:szCs w:val="24"/>
                <w:highlight w:val="none"/>
                <w14:textFill>
                  <w14:solidFill>
                    <w14:schemeClr w14:val="tx1"/>
                  </w14:solidFill>
                </w14:textFill>
              </w:rPr>
              <w:t>。</w:t>
            </w:r>
          </w:p>
          <w:p w14:paraId="7A16B01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）生活垃圾</w:t>
            </w:r>
          </w:p>
          <w:p w14:paraId="4EA8011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生活垃圾按人均产生量为0.5kg/d计，项目劳动定员</w:t>
            </w:r>
            <w:r>
              <w:rPr>
                <w:rFonts w:hint="eastAsia"/>
                <w:color w:val="000000" w:themeColor="text1"/>
                <w:sz w:val="24"/>
                <w:szCs w:val="24"/>
                <w:highlight w:val="none"/>
                <w:lang w:val="en-US" w:eastAsia="zh-CN"/>
                <w14:textFill>
                  <w14:solidFill>
                    <w14:schemeClr w14:val="tx1"/>
                  </w14:solidFill>
                </w14:textFill>
              </w:rPr>
              <w:t>160</w:t>
            </w:r>
            <w:r>
              <w:rPr>
                <w:rFonts w:hint="eastAsia"/>
                <w:color w:val="000000" w:themeColor="text1"/>
                <w:sz w:val="24"/>
                <w:szCs w:val="24"/>
                <w:highlight w:val="none"/>
                <w14:textFill>
                  <w14:solidFill>
                    <w14:schemeClr w14:val="tx1"/>
                  </w14:solidFill>
                </w14:textFill>
              </w:rPr>
              <w:t>人，则生活垃圾产生量为</w:t>
            </w:r>
            <w:r>
              <w:rPr>
                <w:rFonts w:hint="eastAsia"/>
                <w:color w:val="000000" w:themeColor="text1"/>
                <w:sz w:val="24"/>
                <w:szCs w:val="24"/>
                <w:highlight w:val="none"/>
                <w:lang w:val="en-US" w:eastAsia="zh-CN"/>
                <w14:textFill>
                  <w14:solidFill>
                    <w14:schemeClr w14:val="tx1"/>
                  </w14:solidFill>
                </w14:textFill>
              </w:rPr>
              <w:t>80</w:t>
            </w:r>
            <w:r>
              <w:rPr>
                <w:rFonts w:hint="eastAsia"/>
                <w:color w:val="000000" w:themeColor="text1"/>
                <w:sz w:val="24"/>
                <w:szCs w:val="24"/>
                <w:highlight w:val="none"/>
                <w14:textFill>
                  <w14:solidFill>
                    <w14:schemeClr w14:val="tx1"/>
                  </w14:solidFill>
                </w14:textFill>
              </w:rPr>
              <w:t>kg/d，</w:t>
            </w:r>
            <w:r>
              <w:rPr>
                <w:rFonts w:hint="eastAsia"/>
                <w:color w:val="000000" w:themeColor="text1"/>
                <w:sz w:val="24"/>
                <w:szCs w:val="24"/>
                <w:highlight w:val="none"/>
                <w:lang w:val="en-US" w:eastAsia="zh-CN"/>
                <w14:textFill>
                  <w14:solidFill>
                    <w14:schemeClr w14:val="tx1"/>
                  </w14:solidFill>
                </w14:textFill>
              </w:rPr>
              <w:t>28</w:t>
            </w:r>
            <w:r>
              <w:rPr>
                <w:rFonts w:hint="eastAsia"/>
                <w:color w:val="000000" w:themeColor="text1"/>
                <w:sz w:val="24"/>
                <w:szCs w:val="24"/>
                <w:highlight w:val="none"/>
                <w14:textFill>
                  <w14:solidFill>
                    <w14:schemeClr w14:val="tx1"/>
                  </w14:solidFill>
                </w14:textFill>
              </w:rPr>
              <w:t>t/a。厂区设置若干垃圾桶收集后运至当地垃圾收集点，统一由</w:t>
            </w:r>
            <w:r>
              <w:rPr>
                <w:rFonts w:hint="eastAsia"/>
                <w:color w:val="000000" w:themeColor="text1"/>
                <w:sz w:val="24"/>
                <w:szCs w:val="24"/>
                <w:highlight w:val="none"/>
                <w:lang w:eastAsia="zh-CN"/>
                <w14:textFill>
                  <w14:solidFill>
                    <w14:schemeClr w14:val="tx1"/>
                  </w14:solidFill>
                </w14:textFill>
              </w:rPr>
              <w:t>环卫部门</w:t>
            </w:r>
            <w:r>
              <w:rPr>
                <w:rFonts w:hint="eastAsia"/>
                <w:color w:val="000000" w:themeColor="text1"/>
                <w:sz w:val="24"/>
                <w:szCs w:val="24"/>
                <w:highlight w:val="none"/>
                <w14:textFill>
                  <w14:solidFill>
                    <w14:schemeClr w14:val="tx1"/>
                  </w14:solidFill>
                </w14:textFill>
              </w:rPr>
              <w:t>进行清运。</w:t>
            </w:r>
          </w:p>
          <w:p w14:paraId="4DAFCAA9">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（6）餐厨垃圾</w:t>
            </w:r>
          </w:p>
          <w:p w14:paraId="002EE1D7">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项目劳动定员</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160</w:t>
            </w:r>
            <w:r>
              <w:rPr>
                <w:rFonts w:hint="default" w:ascii="Times New Roman" w:hAnsi="Times New Roman" w:eastAsia="宋体" w:cs="Times New Roman"/>
                <w:color w:val="000000" w:themeColor="text1"/>
                <w:sz w:val="24"/>
                <w:szCs w:val="24"/>
                <w:highlight w:val="none"/>
                <w14:textFill>
                  <w14:solidFill>
                    <w14:schemeClr w14:val="tx1"/>
                  </w14:solidFill>
                </w14:textFill>
              </w:rPr>
              <w:t>人，</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食堂提供三餐，按每人每天产生餐厨垃圾0.2kg计，则餐厨垃圾产生量为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32</w:t>
            </w:r>
            <w:r>
              <w:rPr>
                <w:rFonts w:hint="default" w:ascii="Times New Roman" w:hAnsi="Times New Roman" w:eastAsia="宋体" w:cs="Times New Roman"/>
                <w:color w:val="000000" w:themeColor="text1"/>
                <w:sz w:val="24"/>
                <w:szCs w:val="24"/>
                <w:highlight w:val="none"/>
                <w14:textFill>
                  <w14:solidFill>
                    <w14:schemeClr w14:val="tx1"/>
                  </w14:solidFill>
                </w14:textFill>
              </w:rPr>
              <w:t>kg/d，</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11.2</w:t>
            </w:r>
            <w:r>
              <w:rPr>
                <w:rFonts w:hint="default" w:ascii="Times New Roman" w:hAnsi="Times New Roman" w:eastAsia="宋体" w:cs="Times New Roman"/>
                <w:color w:val="000000" w:themeColor="text1"/>
                <w:sz w:val="24"/>
                <w:szCs w:val="24"/>
                <w:highlight w:val="none"/>
                <w14:textFill>
                  <w14:solidFill>
                    <w14:schemeClr w14:val="tx1"/>
                  </w14:solidFill>
                </w14:textFill>
              </w:rPr>
              <w:t>t/a。</w:t>
            </w:r>
          </w:p>
          <w:p w14:paraId="2489CFAF">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对餐饮废物应分类桶装收集（加盖、标识）。餐厨垃圾由项目每日使用加盖塑料桶进行收集，收集后由专人每日清运，不得在项目内滞留过夜，以免异味及蚊虫、老鼠等滋生。 </w:t>
            </w:r>
          </w:p>
          <w:p w14:paraId="26E7290C">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针对餐厨垃圾，本环评建议采取如下措施:</w:t>
            </w:r>
          </w:p>
          <w:p w14:paraId="30C54AF6">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①餐厨垃圾应当按照卫生、环保、城市管理部门的规定收集、存放和处置，也可以委托有经营资质的作业单位代为收集、存放、运输和处置。收集、存放、运输、处置餐厨垃圾，不得污染城市道路和环境。禁止将餐厨垃圾排入雨水、污水管道或沟渠、河道、公共厕所等。</w:t>
            </w:r>
          </w:p>
          <w:p w14:paraId="78BC948C">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②项目食堂应设置专门的餐厨垃圾收集容器，收集容器保持完好和密闭，并标明餐厨垃圾收集容器字样。</w:t>
            </w:r>
          </w:p>
          <w:p w14:paraId="33154412">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③项目食堂在餐厨垃圾产生后24小时内将其交给收运单位或个人运输，不得将餐厨垃圾交由未在城管部门建档备查的餐厨收运单位或个人收运、处理。</w:t>
            </w:r>
          </w:p>
          <w:p w14:paraId="6C8A7675">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④项目食堂应当与餐厨垃圾收运者签订餐厨垃圾合收运同或协议，相关合同或者协议不得违反《中华人民共和国食品安全法》相关规定，不得将餐厨垃圾回收作为食品原料。</w:t>
            </w:r>
          </w:p>
          <w:p w14:paraId="5F6D6C9B">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⑤“收购方”必须在卫生监管部门备案，运输工具（如三轮车、货车）等要在城管部门登记。</w:t>
            </w:r>
          </w:p>
          <w:p w14:paraId="7AE5BA87">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本项目应严格按照上述要求对餐厨垃圾进行处理，评价要求业主方必须与有资质单位签订潲水移交协议，并严格执行以上要求及《饮食业环境保护技术规范》中的相关要求。</w:t>
            </w:r>
          </w:p>
          <w:p w14:paraId="2F060AD3">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7</w:t>
            </w: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）油水分离器废油脂</w:t>
            </w:r>
          </w:p>
          <w:p w14:paraId="12F14D70">
            <w:pPr>
              <w:widowControl w:val="0"/>
              <w:adjustRightInd w:val="0"/>
              <w:snapToGrid w:val="0"/>
              <w:spacing w:line="360" w:lineRule="auto"/>
              <w:ind w:left="0" w:right="119" w:firstLine="480" w:firstLineChars="200"/>
              <w:jc w:val="both"/>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根据同类项目《成绵苍巴高速公路（东石段）综合场站项目》数据经验类比，本项目餐厨垃圾</w:t>
            </w:r>
            <w:r>
              <w:rPr>
                <w:rFonts w:hint="eastAsia"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11.2</w:t>
            </w:r>
            <w:r>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t/a，产生的废油脂量约为</w:t>
            </w:r>
            <w:r>
              <w:rPr>
                <w:rFonts w:hint="eastAsia"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0.224</w:t>
            </w:r>
            <w:r>
              <w:rPr>
                <w:rFonts w:hint="default" w:ascii="Times New Roman" w:hAnsi="Times New Roman" w:eastAsia="宋体" w:cs="Times New Roman"/>
                <w:bCs/>
                <w:color w:val="000000" w:themeColor="text1"/>
                <w:kern w:val="2"/>
                <w:sz w:val="24"/>
                <w:szCs w:val="24"/>
                <w:highlight w:val="none"/>
                <w:lang w:val="en-US" w:eastAsia="zh-CN" w:bidi="ar-SA"/>
                <w14:textFill>
                  <w14:solidFill>
                    <w14:schemeClr w14:val="tx1"/>
                  </w14:solidFill>
                </w14:textFill>
              </w:rPr>
              <w:t>t/a。</w:t>
            </w:r>
          </w:p>
          <w:p w14:paraId="632437B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治理措施：委托相关具有餐厨垃圾处理资质的单位定期前往厂区进行清掏，清掏完毕随即拉运至资质单位合理处置，建设单位不得随意处置。</w:t>
            </w:r>
          </w:p>
          <w:p w14:paraId="1BB9C8F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8</w:t>
            </w:r>
            <w:r>
              <w:rPr>
                <w:rFonts w:hint="eastAsia"/>
                <w:color w:val="000000" w:themeColor="text1"/>
                <w:sz w:val="24"/>
                <w:szCs w:val="24"/>
                <w:highlight w:val="none"/>
                <w:lang w:eastAsia="zh-CN"/>
                <w14:textFill>
                  <w14:solidFill>
                    <w14:schemeClr w14:val="tx1"/>
                  </w14:solidFill>
                </w14:textFill>
              </w:rPr>
              <w:t>）隔油沉淀池废油</w:t>
            </w:r>
          </w:p>
          <w:p w14:paraId="78D93C3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default" w:ascii="Times New Roman" w:hAnsi="Times New Roman" w:cs="Times New Roman"/>
                <w:b w:val="0"/>
                <w:bCs/>
                <w:color w:val="000000" w:themeColor="text1"/>
                <w:sz w:val="24"/>
                <w:highlight w:val="none"/>
                <w:lang w:eastAsia="zh-CN"/>
                <w14:textFill>
                  <w14:solidFill>
                    <w14:schemeClr w14:val="tx1"/>
                  </w14:solidFill>
                </w14:textFill>
              </w:rPr>
              <w:t>本项目运营期</w:t>
            </w:r>
            <w:r>
              <w:rPr>
                <w:rFonts w:hint="default" w:ascii="Times New Roman" w:hAnsi="Times New Roman" w:cs="Times New Roman"/>
                <w:color w:val="000000" w:themeColor="text1"/>
                <w:sz w:val="24"/>
                <w:szCs w:val="22"/>
                <w:highlight w:val="none"/>
                <w14:textFill>
                  <w14:solidFill>
                    <w14:schemeClr w14:val="tx1"/>
                  </w14:solidFill>
                </w14:textFill>
              </w:rPr>
              <w:t>运输车辆冲洗</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废水产生量为</w:t>
            </w:r>
            <w:r>
              <w:rPr>
                <w:rFonts w:hint="eastAsia" w:eastAsia="宋体" w:cs="Times New Roman"/>
                <w:color w:val="000000" w:themeColor="text1"/>
                <w:sz w:val="24"/>
                <w:szCs w:val="24"/>
                <w:highlight w:val="none"/>
                <w:lang w:val="en-US" w:eastAsia="zh-CN"/>
                <w14:textFill>
                  <w14:solidFill>
                    <w14:schemeClr w14:val="tx1"/>
                  </w14:solidFill>
                </w14:textFill>
              </w:rPr>
              <w:t>23.4</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/d</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eastAsia="宋体" w:cs="Times New Roman"/>
                <w:color w:val="000000" w:themeColor="text1"/>
                <w:sz w:val="24"/>
                <w:szCs w:val="24"/>
                <w:highlight w:val="none"/>
                <w:lang w:val="en-US" w:eastAsia="zh-CN"/>
                <w14:textFill>
                  <w14:solidFill>
                    <w14:schemeClr w14:val="tx1"/>
                  </w14:solidFill>
                </w14:textFill>
              </w:rPr>
              <w:t>8190</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m</w:t>
            </w:r>
            <w:r>
              <w:rPr>
                <w:rFonts w:hint="default" w:ascii="Times New Roman" w:hAnsi="Times New Roman" w:cs="Times New Roman"/>
                <w:b w:val="0"/>
                <w:bCs/>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/a</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厂区进出口洗车平台旁</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拟</w:t>
            </w:r>
            <w:r>
              <w:rPr>
                <w:rFonts w:hint="default" w:ascii="Times New Roman" w:hAnsi="Times New Roman" w:eastAsia="宋体" w:cs="Times New Roman"/>
                <w:color w:val="000000" w:themeColor="text1"/>
                <w:sz w:val="24"/>
                <w:szCs w:val="24"/>
                <w:highlight w:val="none"/>
                <w14:textFill>
                  <w14:solidFill>
                    <w14:schemeClr w14:val="tx1"/>
                  </w14:solidFill>
                </w14:textFill>
              </w:rPr>
              <w:t>设置一个</w:t>
            </w:r>
            <w:r>
              <w:rPr>
                <w:rFonts w:hint="eastAsia" w:eastAsia="宋体" w:cs="Times New Roman"/>
                <w:color w:val="000000" w:themeColor="text1"/>
                <w:sz w:val="24"/>
                <w:szCs w:val="24"/>
                <w:highlight w:val="none"/>
                <w:lang w:val="en-US" w:eastAsia="zh-CN"/>
                <w14:textFill>
                  <w14:solidFill>
                    <w14:schemeClr w14:val="tx1"/>
                  </w14:solidFill>
                </w14:textFill>
              </w:rPr>
              <w:t>25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hint="default"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color w:val="000000" w:themeColor="text1"/>
                <w:sz w:val="24"/>
                <w:szCs w:val="24"/>
                <w:highlight w:val="none"/>
                <w14:textFill>
                  <w14:solidFill>
                    <w14:schemeClr w14:val="tx1"/>
                  </w14:solidFill>
                </w14:textFill>
              </w:rPr>
              <w:t>的</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隔油</w:t>
            </w:r>
            <w:r>
              <w:rPr>
                <w:rFonts w:hint="default" w:ascii="Times New Roman" w:hAnsi="Times New Roman" w:eastAsia="宋体" w:cs="Times New Roman"/>
                <w:color w:val="000000" w:themeColor="text1"/>
                <w:sz w:val="24"/>
                <w:szCs w:val="24"/>
                <w:highlight w:val="none"/>
                <w14:textFill>
                  <w14:solidFill>
                    <w14:schemeClr w14:val="tx1"/>
                  </w14:solidFill>
                </w14:textFill>
              </w:rPr>
              <w:t>沉淀池对项目</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运输车辆清洗</w:t>
            </w:r>
            <w:r>
              <w:rPr>
                <w:rFonts w:hint="default" w:ascii="Times New Roman" w:hAnsi="Times New Roman" w:eastAsia="宋体" w:cs="Times New Roman"/>
                <w:color w:val="000000" w:themeColor="text1"/>
                <w:sz w:val="24"/>
                <w:szCs w:val="24"/>
                <w:highlight w:val="none"/>
                <w14:textFill>
                  <w14:solidFill>
                    <w14:schemeClr w14:val="tx1"/>
                  </w14:solidFill>
                </w14:textFill>
              </w:rPr>
              <w:t>废水进行沉淀处理后回用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。洗车废水中石油类含量约为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100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mg/L，经处理后石油类含量约为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30</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mg/L，</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废油污产生量约为</w:t>
            </w:r>
            <w:r>
              <w:rPr>
                <w:rFonts w:hint="eastAsia" w:cs="Times New Roman"/>
                <w:b w:val="0"/>
                <w:bCs/>
                <w:color w:val="000000" w:themeColor="text1"/>
                <w:sz w:val="24"/>
                <w:szCs w:val="24"/>
                <w:highlight w:val="none"/>
                <w:lang w:val="en-US" w:eastAsia="zh-CN"/>
                <w14:textFill>
                  <w14:solidFill>
                    <w14:schemeClr w14:val="tx1"/>
                  </w14:solidFill>
                </w14:textFill>
              </w:rPr>
              <w:t>0.57</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t/a，属于《国家危险废物名录（2021版）》中“HW08废矿物油与含矿物油废物—非特定行业900-210-08—油/水分离设施产生的废油、油泥及废水处理产生的浮渣和污泥（不包括废水生化处理污泥）”范畴。</w:t>
            </w:r>
          </w:p>
          <w:p w14:paraId="5103478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）废矿物油</w:t>
            </w:r>
            <w:r>
              <w:rPr>
                <w:rFonts w:hint="eastAsia"/>
                <w:color w:val="000000" w:themeColor="text1"/>
                <w:sz w:val="24"/>
                <w:szCs w:val="24"/>
                <w:highlight w:val="none"/>
                <w:lang w:eastAsia="zh-CN"/>
                <w14:textFill>
                  <w14:solidFill>
                    <w14:schemeClr w14:val="tx1"/>
                  </w14:solidFill>
                </w14:textFill>
              </w:rPr>
              <w:t>及包装桶</w:t>
            </w:r>
          </w:p>
          <w:p w14:paraId="33E86B5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项目机械设备、运输车辆将定期进行维修保养，在此过程中将产生废矿物油</w:t>
            </w:r>
            <w:r>
              <w:rPr>
                <w:rFonts w:hint="eastAsia"/>
                <w:color w:val="000000" w:themeColor="text1"/>
                <w:sz w:val="24"/>
                <w:szCs w:val="24"/>
                <w:highlight w:val="none"/>
                <w:lang w:eastAsia="zh-CN"/>
                <w14:textFill>
                  <w14:solidFill>
                    <w14:schemeClr w14:val="tx1"/>
                  </w14:solidFill>
                </w14:textFill>
              </w:rPr>
              <w:t>及包装桶</w:t>
            </w:r>
            <w:r>
              <w:rPr>
                <w:rFonts w:hint="eastAsia"/>
                <w:color w:val="000000" w:themeColor="text1"/>
                <w:sz w:val="24"/>
                <w:szCs w:val="24"/>
                <w:highlight w:val="none"/>
                <w14:textFill>
                  <w14:solidFill>
                    <w14:schemeClr w14:val="tx1"/>
                  </w14:solidFill>
                </w14:textFill>
              </w:rPr>
              <w:t>。</w:t>
            </w:r>
            <w:r>
              <w:rPr>
                <w:rFonts w:hint="eastAsia"/>
                <w:color w:val="000000" w:themeColor="text1"/>
                <w:sz w:val="24"/>
                <w:szCs w:val="24"/>
                <w:highlight w:val="none"/>
                <w:lang w:eastAsia="zh-CN"/>
                <w14:textFill>
                  <w14:solidFill>
                    <w14:schemeClr w14:val="tx1"/>
                  </w14:solidFill>
                </w14:textFill>
              </w:rPr>
              <w:t>参照《</w:t>
            </w:r>
            <w:r>
              <w:rPr>
                <w:rFonts w:hint="eastAsia" w:ascii="Times New Roman" w:hAnsi="Times New Roman" w:eastAsia="宋体"/>
                <w:color w:val="000000" w:themeColor="text1"/>
                <w:sz w:val="24"/>
                <w:szCs w:val="24"/>
                <w:highlight w:val="none"/>
                <w14:textFill>
                  <w14:solidFill>
                    <w14:schemeClr w14:val="tx1"/>
                  </w14:solidFill>
                </w14:textFill>
              </w:rPr>
              <w:t>南充至成都高速公路扩容工程土建施工LJ6标段一分部场站项目</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类比分析，项目的产生量约为</w:t>
            </w:r>
            <w:r>
              <w:rPr>
                <w:rFonts w:hint="eastAsia"/>
                <w:color w:val="000000" w:themeColor="text1"/>
                <w:sz w:val="24"/>
                <w:szCs w:val="24"/>
                <w:highlight w:val="none"/>
                <w:lang w:val="en-US" w:eastAsia="zh-CN"/>
                <w14:textFill>
                  <w14:solidFill>
                    <w14:schemeClr w14:val="tx1"/>
                  </w14:solidFill>
                </w14:textFill>
              </w:rPr>
              <w:t>0.8</w:t>
            </w:r>
            <w:r>
              <w:rPr>
                <w:rFonts w:hint="eastAsia"/>
                <w:color w:val="000000" w:themeColor="text1"/>
                <w:sz w:val="24"/>
                <w:szCs w:val="24"/>
                <w:highlight w:val="none"/>
                <w14:textFill>
                  <w14:solidFill>
                    <w14:schemeClr w14:val="tx1"/>
                  </w14:solidFill>
                </w14:textFill>
              </w:rPr>
              <w:t>t/a。</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属于《国家危险废物名录（2021年本）》中的</w:t>
            </w:r>
            <w:r>
              <w:rPr>
                <w:rFonts w:hint="default" w:ascii="Times New Roman" w:hAnsi="Times New Roman" w:cs="Times New Roman"/>
                <w:color w:val="000000" w:themeColor="text1"/>
                <w:sz w:val="24"/>
                <w:highlight w:val="none"/>
                <w14:textFill>
                  <w14:solidFill>
                    <w14:schemeClr w14:val="tx1"/>
                  </w14:solidFill>
                </w14:textFill>
              </w:rPr>
              <w:t>“HW08 废矿物油与含矿物油废物—900-249-08—其他生产、销售、使用过程中产生的废矿物油及沾染矿物油的废弃包装物”范畴</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w:t>
            </w:r>
          </w:p>
          <w:p w14:paraId="1AB8D0C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10</w:t>
            </w:r>
            <w:r>
              <w:rPr>
                <w:rFonts w:hint="eastAsia"/>
                <w:color w:val="000000" w:themeColor="text1"/>
                <w:sz w:val="24"/>
                <w:szCs w:val="24"/>
                <w:highlight w:val="none"/>
                <w:lang w:eastAsia="zh-CN"/>
                <w14:textFill>
                  <w14:solidFill>
                    <w14:schemeClr w14:val="tx1"/>
                  </w14:solidFill>
                </w14:textFill>
              </w:rPr>
              <w:t>）含油废棉纱、手套</w:t>
            </w:r>
          </w:p>
          <w:p w14:paraId="1ECFD96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含油废棉纱、手套产生量约为0.0</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lang w:eastAsia="zh-CN"/>
                <w14:textFill>
                  <w14:solidFill>
                    <w14:schemeClr w14:val="tx1"/>
                  </w14:solidFill>
                </w14:textFill>
              </w:rPr>
              <w:t>t/a</w:t>
            </w:r>
            <w:r>
              <w:rPr>
                <w:rFonts w:hint="eastAsia"/>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highlight w:val="none"/>
                <w:lang w:val="en-US" w:eastAsia="zh-CN"/>
                <w14:textFill>
                  <w14:solidFill>
                    <w14:schemeClr w14:val="tx1"/>
                  </w14:solidFill>
                </w14:textFill>
              </w:rPr>
              <w:t>属于《国家危险废物名录（2021 年本）》中的“HW49 其他废物—非特定行业900-041-49—含有或沾染毒性、感染性危险废物的废弃包装物、容器、过滤吸附介质”范畴。</w:t>
            </w:r>
          </w:p>
          <w:p w14:paraId="026DF25B">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治理措施：项目</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钢筋加工场东侧</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设置危废暂存间一间，面积</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4"/>
                <w:szCs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highlight w:val="none"/>
                <w14:textFill>
                  <w14:solidFill>
                    <w14:schemeClr w14:val="tx1"/>
                  </w14:solidFill>
                </w14:textFill>
              </w:rPr>
              <w:t>本项目产生的</w:t>
            </w:r>
            <w:r>
              <w:rPr>
                <w:rFonts w:hint="default" w:ascii="Times New Roman" w:hAnsi="Times New Roman" w:eastAsia="宋体" w:cs="Times New Roman"/>
                <w:bCs/>
                <w:color w:val="000000" w:themeColor="text1"/>
                <w:sz w:val="24"/>
                <w:szCs w:val="24"/>
                <w:highlight w:val="none"/>
                <w14:textFill>
                  <w14:solidFill>
                    <w14:schemeClr w14:val="tx1"/>
                  </w14:solidFill>
                </w14:textFill>
              </w:rPr>
              <w:t>废机油、废机油桶、沾油废物</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隔油沉淀池废油污</w:t>
            </w:r>
            <w:r>
              <w:rPr>
                <w:rFonts w:hint="default" w:ascii="Times New Roman" w:hAnsi="Times New Roman" w:eastAsia="宋体" w:cs="Times New Roman"/>
                <w:color w:val="000000" w:themeColor="text1"/>
                <w:sz w:val="24"/>
                <w:highlight w:val="none"/>
                <w14:textFill>
                  <w14:solidFill>
                    <w14:schemeClr w14:val="tx1"/>
                  </w14:solidFill>
                </w14:textFill>
              </w:rPr>
              <w:t>分别按废弃物类别配备相应的收集容器，容器不能有破损、盖子损坏或其它可能导致废油泄漏的隐患。废弃物收集容器应粘贴危险废弃物标签，明显标示其中的废弃物名称、主要成分与性质，并保持清晰可见，及时交由有危废处置资质单位进行合理处置。</w:t>
            </w:r>
          </w:p>
          <w:p w14:paraId="36FC55F9">
            <w:pPr>
              <w:widowControl w:val="0"/>
              <w:adjustRightInd w:val="0"/>
              <w:snapToGrid w:val="0"/>
              <w:spacing w:line="360" w:lineRule="auto"/>
              <w:ind w:left="0" w:right="119" w:firstLine="480" w:firstLineChars="200"/>
              <w:jc w:val="both"/>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t>本项目固废处置情况一览表见下表。</w:t>
            </w:r>
          </w:p>
          <w:p w14:paraId="52A07050">
            <w:pPr>
              <w:widowControl w:val="0"/>
              <w:adjustRightInd w:val="0"/>
              <w:snapToGrid w:val="0"/>
              <w:spacing w:line="240" w:lineRule="auto"/>
              <w:ind w:left="0" w:right="119" w:firstLine="0"/>
              <w:jc w:val="center"/>
              <w:rPr>
                <w:rFonts w:hint="default"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pPr>
            <w:r>
              <w:rPr>
                <w:rFonts w:hint="default"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t>表4-</w:t>
            </w:r>
            <w:r>
              <w:rPr>
                <w:rFonts w:hint="eastAsia"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t>15</w:t>
            </w:r>
            <w:r>
              <w:rPr>
                <w:rFonts w:hint="default" w:ascii="Times New Roman" w:hAnsi="Times New Roman" w:eastAsia="宋体" w:cs="Times New Roman"/>
                <w:b/>
                <w:bCs/>
                <w:color w:val="000000" w:themeColor="text1"/>
                <w:kern w:val="2"/>
                <w:sz w:val="21"/>
                <w:szCs w:val="20"/>
                <w:highlight w:val="none"/>
                <w:lang w:val="en-US" w:eastAsia="zh-CN" w:bidi="ar-SA"/>
                <w14:textFill>
                  <w14:solidFill>
                    <w14:schemeClr w14:val="tx1"/>
                  </w14:solidFill>
                </w14:textFill>
              </w:rPr>
              <w:t xml:space="preserve">     项目一般固废产排情况一览表</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753"/>
              <w:gridCol w:w="1535"/>
              <w:gridCol w:w="1088"/>
              <w:gridCol w:w="581"/>
              <w:gridCol w:w="994"/>
              <w:gridCol w:w="1708"/>
              <w:gridCol w:w="1281"/>
            </w:tblGrid>
            <w:tr w14:paraId="35CF53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120C6FF5">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产生</w:t>
                  </w:r>
                </w:p>
                <w:p w14:paraId="761C953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环节</w:t>
                  </w:r>
                </w:p>
              </w:tc>
              <w:tc>
                <w:tcPr>
                  <w:tcW w:w="1535" w:type="dxa"/>
                  <w:tcBorders>
                    <w:tl2br w:val="nil"/>
                    <w:tr2bl w:val="nil"/>
                  </w:tcBorders>
                  <w:noWrap w:val="0"/>
                  <w:vAlign w:val="center"/>
                </w:tcPr>
                <w:p w14:paraId="45E36ED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名称</w:t>
                  </w:r>
                </w:p>
              </w:tc>
              <w:tc>
                <w:tcPr>
                  <w:tcW w:w="1088" w:type="dxa"/>
                  <w:tcBorders>
                    <w:tl2br w:val="nil"/>
                    <w:tr2bl w:val="nil"/>
                  </w:tcBorders>
                  <w:noWrap w:val="0"/>
                  <w:vAlign w:val="center"/>
                </w:tcPr>
                <w:p w14:paraId="42371E0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属性</w:t>
                  </w:r>
                </w:p>
              </w:tc>
              <w:tc>
                <w:tcPr>
                  <w:tcW w:w="581" w:type="dxa"/>
                  <w:tcBorders>
                    <w:tl2br w:val="nil"/>
                    <w:tr2bl w:val="nil"/>
                  </w:tcBorders>
                  <w:noWrap w:val="0"/>
                  <w:vAlign w:val="center"/>
                </w:tcPr>
                <w:p w14:paraId="37E0E92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物理性状</w:t>
                  </w:r>
                </w:p>
              </w:tc>
              <w:tc>
                <w:tcPr>
                  <w:tcW w:w="994" w:type="dxa"/>
                  <w:tcBorders>
                    <w:tl2br w:val="nil"/>
                    <w:tr2bl w:val="nil"/>
                  </w:tcBorders>
                  <w:noWrap w:val="0"/>
                  <w:vAlign w:val="center"/>
                </w:tcPr>
                <w:p w14:paraId="6F15C59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产生量</w:t>
                  </w:r>
                </w:p>
              </w:tc>
              <w:tc>
                <w:tcPr>
                  <w:tcW w:w="1708" w:type="dxa"/>
                  <w:tcBorders>
                    <w:tl2br w:val="nil"/>
                    <w:tr2bl w:val="nil"/>
                  </w:tcBorders>
                  <w:noWrap w:val="0"/>
                  <w:vAlign w:val="center"/>
                </w:tcPr>
                <w:p w14:paraId="3362CEE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利用处置方和去向</w:t>
                  </w:r>
                </w:p>
              </w:tc>
              <w:tc>
                <w:tcPr>
                  <w:tcW w:w="1281" w:type="dxa"/>
                  <w:tcBorders>
                    <w:tl2br w:val="nil"/>
                    <w:tr2bl w:val="nil"/>
                  </w:tcBorders>
                  <w:noWrap w:val="0"/>
                  <w:vAlign w:val="center"/>
                </w:tcPr>
                <w:p w14:paraId="2F1E6FE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kern w:val="0"/>
                      <w:sz w:val="21"/>
                      <w:szCs w:val="21"/>
                      <w:highlight w:val="none"/>
                      <w14:textFill>
                        <w14:solidFill>
                          <w14:schemeClr w14:val="tx1"/>
                        </w14:solidFill>
                      </w14:textFill>
                    </w:rPr>
                    <w:t>利用或处置量</w:t>
                  </w:r>
                </w:p>
              </w:tc>
            </w:tr>
            <w:tr w14:paraId="2E5D04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78E5A8AC">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除尘器</w:t>
                  </w:r>
                </w:p>
              </w:tc>
              <w:tc>
                <w:tcPr>
                  <w:tcW w:w="1535" w:type="dxa"/>
                  <w:tcBorders>
                    <w:tl2br w:val="nil"/>
                    <w:tr2bl w:val="nil"/>
                  </w:tcBorders>
                  <w:noWrap w:val="0"/>
                  <w:vAlign w:val="center"/>
                </w:tcPr>
                <w:p w14:paraId="64F7A50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除尘器粉尘</w:t>
                  </w:r>
                </w:p>
              </w:tc>
              <w:tc>
                <w:tcPr>
                  <w:tcW w:w="1088" w:type="dxa"/>
                  <w:tcBorders>
                    <w:tl2br w:val="nil"/>
                    <w:tr2bl w:val="nil"/>
                  </w:tcBorders>
                  <w:noWrap w:val="0"/>
                  <w:vAlign w:val="center"/>
                </w:tcPr>
                <w:p w14:paraId="638B783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27424EE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粉末</w:t>
                  </w:r>
                </w:p>
              </w:tc>
              <w:tc>
                <w:tcPr>
                  <w:tcW w:w="994" w:type="dxa"/>
                  <w:tcBorders>
                    <w:tl2br w:val="nil"/>
                    <w:tr2bl w:val="nil"/>
                  </w:tcBorders>
                  <w:noWrap w:val="0"/>
                  <w:vAlign w:val="center"/>
                </w:tcPr>
                <w:p w14:paraId="2DEC489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58.58</w:t>
                  </w: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t/a</w:t>
                  </w:r>
                </w:p>
              </w:tc>
              <w:tc>
                <w:tcPr>
                  <w:tcW w:w="1708" w:type="dxa"/>
                  <w:tcBorders>
                    <w:tl2br w:val="nil"/>
                    <w:tr2bl w:val="nil"/>
                  </w:tcBorders>
                  <w:noWrap w:val="0"/>
                  <w:vAlign w:val="center"/>
                </w:tcPr>
                <w:p w14:paraId="2FF543DD">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回用于生产</w:t>
                  </w:r>
                </w:p>
              </w:tc>
              <w:tc>
                <w:tcPr>
                  <w:tcW w:w="1281" w:type="dxa"/>
                  <w:tcBorders>
                    <w:tl2br w:val="nil"/>
                    <w:tr2bl w:val="nil"/>
                  </w:tcBorders>
                  <w:noWrap w:val="0"/>
                  <w:vAlign w:val="center"/>
                </w:tcPr>
                <w:p w14:paraId="0A15C35A">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58.58</w:t>
                  </w: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t/a</w:t>
                  </w:r>
                </w:p>
              </w:tc>
            </w:tr>
            <w:tr w14:paraId="6284B0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5EAB2A4F">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沉淀池</w:t>
                  </w:r>
                </w:p>
              </w:tc>
              <w:tc>
                <w:tcPr>
                  <w:tcW w:w="1535" w:type="dxa"/>
                  <w:tcBorders>
                    <w:tl2br w:val="nil"/>
                    <w:tr2bl w:val="nil"/>
                  </w:tcBorders>
                  <w:noWrap w:val="0"/>
                  <w:vAlign w:val="center"/>
                </w:tcPr>
                <w:p w14:paraId="3CCDA98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t>底泥</w:t>
                  </w: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（压滤泥饼）</w:t>
                  </w:r>
                </w:p>
              </w:tc>
              <w:tc>
                <w:tcPr>
                  <w:tcW w:w="1088" w:type="dxa"/>
                  <w:tcBorders>
                    <w:tl2br w:val="nil"/>
                    <w:tr2bl w:val="nil"/>
                  </w:tcBorders>
                  <w:noWrap w:val="0"/>
                  <w:vAlign w:val="center"/>
                </w:tcPr>
                <w:p w14:paraId="7889920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438EEC65">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固态</w:t>
                  </w:r>
                </w:p>
              </w:tc>
              <w:tc>
                <w:tcPr>
                  <w:tcW w:w="994" w:type="dxa"/>
                  <w:tcBorders>
                    <w:tl2br w:val="nil"/>
                    <w:tr2bl w:val="nil"/>
                  </w:tcBorders>
                  <w:noWrap w:val="0"/>
                  <w:vAlign w:val="center"/>
                </w:tcPr>
                <w:p w14:paraId="062C775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46.4</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vMerge w:val="restart"/>
                  <w:tcBorders>
                    <w:tl2br w:val="nil"/>
                    <w:tr2bl w:val="nil"/>
                  </w:tcBorders>
                  <w:noWrap w:val="0"/>
                  <w:vAlign w:val="center"/>
                </w:tcPr>
                <w:p w14:paraId="1B0F42E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t>清运至G42线南充至成都段高速公路扩容工程弃渣场（经纬度：105.5903，30.6304）</w:t>
                  </w:r>
                </w:p>
              </w:tc>
              <w:tc>
                <w:tcPr>
                  <w:tcW w:w="1281" w:type="dxa"/>
                  <w:tcBorders>
                    <w:tl2br w:val="nil"/>
                    <w:tr2bl w:val="nil"/>
                  </w:tcBorders>
                  <w:noWrap w:val="0"/>
                  <w:vAlign w:val="center"/>
                </w:tcPr>
                <w:p w14:paraId="7FE0806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46.4</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265206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15F1B2F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检验</w:t>
                  </w:r>
                </w:p>
              </w:tc>
              <w:tc>
                <w:tcPr>
                  <w:tcW w:w="1535" w:type="dxa"/>
                  <w:tcBorders>
                    <w:tl2br w:val="nil"/>
                    <w:tr2bl w:val="nil"/>
                  </w:tcBorders>
                  <w:noWrap w:val="0"/>
                  <w:vAlign w:val="center"/>
                </w:tcPr>
                <w:p w14:paraId="63A95683">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硬化混凝土块</w:t>
                  </w:r>
                </w:p>
              </w:tc>
              <w:tc>
                <w:tcPr>
                  <w:tcW w:w="1088" w:type="dxa"/>
                  <w:tcBorders>
                    <w:tl2br w:val="nil"/>
                    <w:tr2bl w:val="nil"/>
                  </w:tcBorders>
                  <w:noWrap w:val="0"/>
                  <w:vAlign w:val="center"/>
                </w:tcPr>
                <w:p w14:paraId="7C7E712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78B3A8A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固态</w:t>
                  </w:r>
                </w:p>
              </w:tc>
              <w:tc>
                <w:tcPr>
                  <w:tcW w:w="994" w:type="dxa"/>
                  <w:tcBorders>
                    <w:tl2br w:val="nil"/>
                    <w:tr2bl w:val="nil"/>
                  </w:tcBorders>
                  <w:noWrap w:val="0"/>
                  <w:vAlign w:val="center"/>
                </w:tcPr>
                <w:p w14:paraId="4EEE568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vMerge w:val="continue"/>
                  <w:tcBorders>
                    <w:tl2br w:val="nil"/>
                    <w:tr2bl w:val="nil"/>
                  </w:tcBorders>
                  <w:noWrap w:val="0"/>
                  <w:vAlign w:val="center"/>
                </w:tcPr>
                <w:p w14:paraId="5A83B6D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p>
              </w:tc>
              <w:tc>
                <w:tcPr>
                  <w:tcW w:w="1281" w:type="dxa"/>
                  <w:tcBorders>
                    <w:tl2br w:val="nil"/>
                    <w:tr2bl w:val="nil"/>
                  </w:tcBorders>
                  <w:noWrap w:val="0"/>
                  <w:vAlign w:val="center"/>
                </w:tcPr>
                <w:p w14:paraId="3EABC2B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2.5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07E00D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4D127FE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钢筋</w:t>
                  </w:r>
                </w:p>
                <w:p w14:paraId="7D56548D">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切割</w:t>
                  </w:r>
                </w:p>
              </w:tc>
              <w:tc>
                <w:tcPr>
                  <w:tcW w:w="1535" w:type="dxa"/>
                  <w:tcBorders>
                    <w:tl2br w:val="nil"/>
                    <w:tr2bl w:val="nil"/>
                  </w:tcBorders>
                  <w:noWrap w:val="0"/>
                  <w:vAlign w:val="center"/>
                </w:tcPr>
                <w:p w14:paraId="05F06CB3">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边角废料</w:t>
                  </w:r>
                </w:p>
              </w:tc>
              <w:tc>
                <w:tcPr>
                  <w:tcW w:w="1088" w:type="dxa"/>
                  <w:tcBorders>
                    <w:tl2br w:val="nil"/>
                    <w:tr2bl w:val="nil"/>
                  </w:tcBorders>
                  <w:noWrap w:val="0"/>
                  <w:vAlign w:val="center"/>
                </w:tcPr>
                <w:p w14:paraId="25D5E76B">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27DF48A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固体</w:t>
                  </w:r>
                </w:p>
              </w:tc>
              <w:tc>
                <w:tcPr>
                  <w:tcW w:w="994" w:type="dxa"/>
                  <w:tcBorders>
                    <w:tl2br w:val="nil"/>
                    <w:tr2bl w:val="nil"/>
                  </w:tcBorders>
                  <w:noWrap w:val="0"/>
                  <w:vAlign w:val="center"/>
                </w:tcPr>
                <w:p w14:paraId="5FF435B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35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6C069124">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外售至废品收购站综合化利用</w:t>
                  </w:r>
                </w:p>
              </w:tc>
              <w:tc>
                <w:tcPr>
                  <w:tcW w:w="1281" w:type="dxa"/>
                  <w:tcBorders>
                    <w:tl2br w:val="nil"/>
                    <w:tr2bl w:val="nil"/>
                  </w:tcBorders>
                  <w:noWrap w:val="0"/>
                  <w:vAlign w:val="center"/>
                </w:tcPr>
                <w:p w14:paraId="67CD5FA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35</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56AAA1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15EBB171">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办公</w:t>
                  </w:r>
                </w:p>
                <w:p w14:paraId="027EEE8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生活</w:t>
                  </w:r>
                </w:p>
              </w:tc>
              <w:tc>
                <w:tcPr>
                  <w:tcW w:w="1535" w:type="dxa"/>
                  <w:tcBorders>
                    <w:tl2br w:val="nil"/>
                    <w:tr2bl w:val="nil"/>
                  </w:tcBorders>
                  <w:noWrap w:val="0"/>
                  <w:vAlign w:val="center"/>
                </w:tcPr>
                <w:p w14:paraId="551151D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生活垃圾</w:t>
                  </w:r>
                </w:p>
              </w:tc>
              <w:tc>
                <w:tcPr>
                  <w:tcW w:w="1088" w:type="dxa"/>
                  <w:tcBorders>
                    <w:tl2br w:val="nil"/>
                    <w:tr2bl w:val="nil"/>
                  </w:tcBorders>
                  <w:noWrap w:val="0"/>
                  <w:vAlign w:val="center"/>
                </w:tcPr>
                <w:p w14:paraId="618899E2">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1689C5E8">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固体</w:t>
                  </w:r>
                </w:p>
              </w:tc>
              <w:tc>
                <w:tcPr>
                  <w:tcW w:w="994" w:type="dxa"/>
                  <w:tcBorders>
                    <w:tl2br w:val="nil"/>
                    <w:tr2bl w:val="nil"/>
                  </w:tcBorders>
                  <w:noWrap w:val="0"/>
                  <w:vAlign w:val="center"/>
                </w:tcPr>
                <w:p w14:paraId="4980BEC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28</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522F66FA">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环卫部门清运</w:t>
                  </w:r>
                </w:p>
              </w:tc>
              <w:tc>
                <w:tcPr>
                  <w:tcW w:w="1281" w:type="dxa"/>
                  <w:tcBorders>
                    <w:tl2br w:val="nil"/>
                    <w:tr2bl w:val="nil"/>
                  </w:tcBorders>
                  <w:noWrap w:val="0"/>
                  <w:vAlign w:val="center"/>
                </w:tcPr>
                <w:p w14:paraId="72AB06C3">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28</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0745C1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5D841E8D">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食堂</w:t>
                  </w:r>
                </w:p>
              </w:tc>
              <w:tc>
                <w:tcPr>
                  <w:tcW w:w="1535" w:type="dxa"/>
                  <w:tcBorders>
                    <w:tl2br w:val="nil"/>
                    <w:tr2bl w:val="nil"/>
                  </w:tcBorders>
                  <w:noWrap w:val="0"/>
                  <w:vAlign w:val="center"/>
                </w:tcPr>
                <w:p w14:paraId="3B839A4C">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餐厨垃圾</w:t>
                  </w:r>
                </w:p>
              </w:tc>
              <w:tc>
                <w:tcPr>
                  <w:tcW w:w="1088" w:type="dxa"/>
                  <w:tcBorders>
                    <w:tl2br w:val="nil"/>
                    <w:tr2bl w:val="nil"/>
                  </w:tcBorders>
                  <w:noWrap w:val="0"/>
                  <w:vAlign w:val="center"/>
                </w:tcPr>
                <w:p w14:paraId="24F2474D">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005282D0">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固态</w:t>
                  </w:r>
                </w:p>
              </w:tc>
              <w:tc>
                <w:tcPr>
                  <w:tcW w:w="994" w:type="dxa"/>
                  <w:tcBorders>
                    <w:tl2br w:val="nil"/>
                    <w:tr2bl w:val="nil"/>
                  </w:tcBorders>
                  <w:noWrap w:val="0"/>
                  <w:vAlign w:val="center"/>
                </w:tcPr>
                <w:p w14:paraId="47A659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11.2</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51956B4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宋体" w:hAnsi="宋体" w:eastAsia="宋体" w:cs="宋体"/>
                      <w:b w:val="0"/>
                      <w:bCs w:val="0"/>
                      <w:color w:val="000000" w:themeColor="text1"/>
                      <w:kern w:val="0"/>
                      <w:sz w:val="21"/>
                      <w:szCs w:val="21"/>
                      <w:highlight w:val="none"/>
                      <w:lang w:val="en-US" w:eastAsia="zh-CN"/>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专用容器收集，日产日清，交由具有餐厨垃圾处置资质单位处置</w:t>
                  </w:r>
                </w:p>
              </w:tc>
              <w:tc>
                <w:tcPr>
                  <w:tcW w:w="1281" w:type="dxa"/>
                  <w:tcBorders>
                    <w:tl2br w:val="nil"/>
                    <w:tr2bl w:val="nil"/>
                  </w:tcBorders>
                  <w:noWrap w:val="0"/>
                  <w:vAlign w:val="center"/>
                </w:tcPr>
                <w:p w14:paraId="307DCDD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11.2</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r w14:paraId="5D9722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3" w:type="dxa"/>
                  <w:tcBorders>
                    <w:tl2br w:val="nil"/>
                    <w:tr2bl w:val="nil"/>
                  </w:tcBorders>
                  <w:noWrap w:val="0"/>
                  <w:vAlign w:val="center"/>
                </w:tcPr>
                <w:p w14:paraId="7C158729">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食堂</w:t>
                  </w:r>
                </w:p>
              </w:tc>
              <w:tc>
                <w:tcPr>
                  <w:tcW w:w="1535" w:type="dxa"/>
                  <w:tcBorders>
                    <w:tl2br w:val="nil"/>
                    <w:tr2bl w:val="nil"/>
                  </w:tcBorders>
                  <w:noWrap w:val="0"/>
                  <w:vAlign w:val="center"/>
                </w:tcPr>
                <w:p w14:paraId="36C3770E">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油水分离器废油</w:t>
                  </w:r>
                </w:p>
              </w:tc>
              <w:tc>
                <w:tcPr>
                  <w:tcW w:w="1088" w:type="dxa"/>
                  <w:tcBorders>
                    <w:tl2br w:val="nil"/>
                    <w:tr2bl w:val="nil"/>
                  </w:tcBorders>
                  <w:noWrap w:val="0"/>
                  <w:vAlign w:val="center"/>
                </w:tcPr>
                <w:p w14:paraId="6F8B613A">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一般固废</w:t>
                  </w:r>
                </w:p>
              </w:tc>
              <w:tc>
                <w:tcPr>
                  <w:tcW w:w="581" w:type="dxa"/>
                  <w:tcBorders>
                    <w:tl2br w:val="nil"/>
                    <w:tr2bl w:val="nil"/>
                  </w:tcBorders>
                  <w:noWrap w:val="0"/>
                  <w:vAlign w:val="center"/>
                </w:tcPr>
                <w:p w14:paraId="59638D77">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液态</w:t>
                  </w:r>
                </w:p>
              </w:tc>
              <w:tc>
                <w:tcPr>
                  <w:tcW w:w="994" w:type="dxa"/>
                  <w:tcBorders>
                    <w:tl2br w:val="nil"/>
                    <w:tr2bl w:val="nil"/>
                  </w:tcBorders>
                  <w:noWrap w:val="0"/>
                  <w:vAlign w:val="center"/>
                </w:tcPr>
                <w:p w14:paraId="6CE3C38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0.224</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c>
                <w:tcPr>
                  <w:tcW w:w="1708" w:type="dxa"/>
                  <w:tcBorders>
                    <w:tl2br w:val="nil"/>
                    <w:tr2bl w:val="nil"/>
                  </w:tcBorders>
                  <w:noWrap w:val="0"/>
                  <w:vAlign w:val="center"/>
                </w:tcPr>
                <w:p w14:paraId="3C2490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宋体" w:hAnsi="宋体" w:eastAsia="宋体" w:cs="宋体"/>
                      <w:b w:val="0"/>
                      <w:bCs w:val="0"/>
                      <w:color w:val="000000" w:themeColor="text1"/>
                      <w:kern w:val="0"/>
                      <w:sz w:val="21"/>
                      <w:szCs w:val="21"/>
                      <w:highlight w:val="none"/>
                      <w:lang w:val="en-US" w:eastAsia="zh-CN"/>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交由具有餐厨垃圾处置资质单位处置</w:t>
                  </w:r>
                </w:p>
              </w:tc>
              <w:tc>
                <w:tcPr>
                  <w:tcW w:w="1281" w:type="dxa"/>
                  <w:tcBorders>
                    <w:tl2br w:val="nil"/>
                    <w:tr2bl w:val="nil"/>
                  </w:tcBorders>
                  <w:noWrap w:val="0"/>
                  <w:vAlign w:val="center"/>
                </w:tcPr>
                <w:p w14:paraId="67CC880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val="0"/>
                      <w:bCs w:val="0"/>
                      <w:color w:val="000000" w:themeColor="text1"/>
                      <w:kern w:val="0"/>
                      <w:sz w:val="2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0.224</w:t>
                  </w:r>
                  <w:r>
                    <w:rPr>
                      <w:rFonts w:hint="default"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t/a</w:t>
                  </w:r>
                </w:p>
              </w:tc>
            </w:tr>
          </w:tbl>
          <w:p w14:paraId="22FDC56C">
            <w:pPr>
              <w:keepNext w:val="0"/>
              <w:keepLines w:val="0"/>
              <w:pageBreakBefore w:val="0"/>
              <w:widowControl w:val="0"/>
              <w:kinsoku/>
              <w:wordWrap/>
              <w:overflowPunct/>
              <w:topLinePunct w:val="0"/>
              <w:autoSpaceDE/>
              <w:autoSpaceDN/>
              <w:bidi w:val="0"/>
              <w:adjustRightInd w:val="0"/>
              <w:snapToGrid w:val="0"/>
              <w:spacing w:before="157" w:beforeLines="50" w:line="240" w:lineRule="auto"/>
              <w:ind w:left="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表4-1</w:t>
            </w:r>
            <w:r>
              <w:rPr>
                <w:rFonts w:hint="eastAsia"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 xml:space="preserve">6    </w:t>
            </w: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项目危险废物相关信息汇总表</w:t>
            </w:r>
          </w:p>
          <w:tbl>
            <w:tblPr>
              <w:tblStyle w:val="21"/>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31"/>
              <w:gridCol w:w="1043"/>
              <w:gridCol w:w="1212"/>
              <w:gridCol w:w="1045"/>
              <w:gridCol w:w="762"/>
              <w:gridCol w:w="912"/>
              <w:gridCol w:w="519"/>
              <w:gridCol w:w="685"/>
              <w:gridCol w:w="660"/>
              <w:gridCol w:w="673"/>
            </w:tblGrid>
            <w:tr w14:paraId="604194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388752A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序号</w:t>
                  </w:r>
                </w:p>
              </w:tc>
              <w:tc>
                <w:tcPr>
                  <w:tcW w:w="1043" w:type="dxa"/>
                  <w:tcBorders>
                    <w:tl2br w:val="nil"/>
                    <w:tr2bl w:val="nil"/>
                  </w:tcBorders>
                  <w:noWrap w:val="0"/>
                  <w:vAlign w:val="center"/>
                </w:tcPr>
                <w:p w14:paraId="23A16ED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w:t>
                  </w:r>
                </w:p>
                <w:p w14:paraId="6DC705F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名称</w:t>
                  </w:r>
                </w:p>
              </w:tc>
              <w:tc>
                <w:tcPr>
                  <w:tcW w:w="1212" w:type="dxa"/>
                  <w:tcBorders>
                    <w:tl2br w:val="nil"/>
                    <w:tr2bl w:val="nil"/>
                  </w:tcBorders>
                  <w:noWrap w:val="0"/>
                  <w:vAlign w:val="center"/>
                </w:tcPr>
                <w:p w14:paraId="721C95B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w:t>
                  </w:r>
                </w:p>
                <w:p w14:paraId="6FB8696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类别</w:t>
                  </w:r>
                </w:p>
              </w:tc>
              <w:tc>
                <w:tcPr>
                  <w:tcW w:w="1045" w:type="dxa"/>
                  <w:tcBorders>
                    <w:tl2br w:val="nil"/>
                    <w:tr2bl w:val="nil"/>
                  </w:tcBorders>
                  <w:noWrap w:val="0"/>
                  <w:vAlign w:val="center"/>
                </w:tcPr>
                <w:p w14:paraId="612FC13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危险废物代码</w:t>
                  </w:r>
                </w:p>
              </w:tc>
              <w:tc>
                <w:tcPr>
                  <w:tcW w:w="762" w:type="dxa"/>
                  <w:tcBorders>
                    <w:tl2br w:val="nil"/>
                    <w:tr2bl w:val="nil"/>
                  </w:tcBorders>
                  <w:noWrap w:val="0"/>
                  <w:vAlign w:val="center"/>
                </w:tcPr>
                <w:p w14:paraId="6DF4266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产生量</w:t>
                  </w:r>
                </w:p>
              </w:tc>
              <w:tc>
                <w:tcPr>
                  <w:tcW w:w="912" w:type="dxa"/>
                  <w:tcBorders>
                    <w:tl2br w:val="nil"/>
                    <w:tr2bl w:val="nil"/>
                  </w:tcBorders>
                  <w:noWrap w:val="0"/>
                  <w:vAlign w:val="center"/>
                </w:tcPr>
                <w:p w14:paraId="7477F53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产生工序及装置</w:t>
                  </w:r>
                </w:p>
              </w:tc>
              <w:tc>
                <w:tcPr>
                  <w:tcW w:w="519" w:type="dxa"/>
                  <w:tcBorders>
                    <w:tl2br w:val="nil"/>
                    <w:tr2bl w:val="nil"/>
                  </w:tcBorders>
                  <w:noWrap w:val="0"/>
                  <w:vAlign w:val="center"/>
                </w:tcPr>
                <w:p w14:paraId="6ED40B0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形态</w:t>
                  </w:r>
                </w:p>
              </w:tc>
              <w:tc>
                <w:tcPr>
                  <w:tcW w:w="685" w:type="dxa"/>
                  <w:tcBorders>
                    <w:tl2br w:val="nil"/>
                    <w:tr2bl w:val="nil"/>
                  </w:tcBorders>
                  <w:noWrap w:val="0"/>
                  <w:vAlign w:val="center"/>
                </w:tcPr>
                <w:p w14:paraId="329D1AD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有害</w:t>
                  </w:r>
                </w:p>
                <w:p w14:paraId="2E266D2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成分</w:t>
                  </w:r>
                </w:p>
              </w:tc>
              <w:tc>
                <w:tcPr>
                  <w:tcW w:w="660" w:type="dxa"/>
                  <w:tcBorders>
                    <w:tl2br w:val="nil"/>
                    <w:tr2bl w:val="nil"/>
                  </w:tcBorders>
                  <w:noWrap w:val="0"/>
                  <w:vAlign w:val="center"/>
                </w:tcPr>
                <w:p w14:paraId="450C0E7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危害</w:t>
                  </w:r>
                </w:p>
                <w:p w14:paraId="18E69B6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特性</w:t>
                  </w:r>
                </w:p>
              </w:tc>
              <w:tc>
                <w:tcPr>
                  <w:tcW w:w="673" w:type="dxa"/>
                  <w:tcBorders>
                    <w:tl2br w:val="nil"/>
                    <w:tr2bl w:val="nil"/>
                  </w:tcBorders>
                  <w:noWrap w:val="0"/>
                  <w:vAlign w:val="center"/>
                </w:tcPr>
                <w:p w14:paraId="2F162FA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产生</w:t>
                  </w:r>
                </w:p>
                <w:p w14:paraId="50C74D7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周期</w:t>
                  </w:r>
                </w:p>
              </w:tc>
            </w:tr>
            <w:tr w14:paraId="1D7C6FA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28B0EA2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1</w:t>
                  </w:r>
                </w:p>
              </w:tc>
              <w:tc>
                <w:tcPr>
                  <w:tcW w:w="1043" w:type="dxa"/>
                  <w:tcBorders>
                    <w:tl2br w:val="nil"/>
                    <w:tr2bl w:val="nil"/>
                  </w:tcBorders>
                  <w:noWrap w:val="0"/>
                  <w:vAlign w:val="center"/>
                </w:tcPr>
                <w:p w14:paraId="30216138">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隔油沉淀池废油污</w:t>
                  </w:r>
                </w:p>
              </w:tc>
              <w:tc>
                <w:tcPr>
                  <w:tcW w:w="1212" w:type="dxa"/>
                  <w:tcBorders>
                    <w:tl2br w:val="nil"/>
                    <w:tr2bl w:val="nil"/>
                  </w:tcBorders>
                  <w:noWrap w:val="0"/>
                  <w:vAlign w:val="center"/>
                </w:tcPr>
                <w:p w14:paraId="13D619B2">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HW08废矿物油与含矿物油废物</w:t>
                  </w:r>
                </w:p>
              </w:tc>
              <w:tc>
                <w:tcPr>
                  <w:tcW w:w="1045" w:type="dxa"/>
                  <w:tcBorders>
                    <w:tl2br w:val="nil"/>
                    <w:tr2bl w:val="nil"/>
                  </w:tcBorders>
                  <w:noWrap w:val="0"/>
                  <w:vAlign w:val="center"/>
                </w:tcPr>
                <w:p w14:paraId="19FCEF47">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900-210-08</w:t>
                  </w:r>
                </w:p>
              </w:tc>
              <w:tc>
                <w:tcPr>
                  <w:tcW w:w="762" w:type="dxa"/>
                  <w:tcBorders>
                    <w:tl2br w:val="nil"/>
                    <w:tr2bl w:val="nil"/>
                  </w:tcBorders>
                  <w:noWrap w:val="0"/>
                  <w:vAlign w:val="center"/>
                </w:tcPr>
                <w:p w14:paraId="3E83B99C">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0.</w:t>
                  </w:r>
                  <w:r>
                    <w:rPr>
                      <w:rFonts w:hint="eastAsia" w:ascii="Times New Roman" w:hAnsi="Times New Roman" w:eastAsia="宋体" w:cs="Times New Roman"/>
                      <w:color w:val="000000" w:themeColor="text1"/>
                      <w:szCs w:val="21"/>
                      <w:highlight w:val="none"/>
                      <w:lang w:val="en-US" w:eastAsia="zh-CN"/>
                      <w14:textFill>
                        <w14:solidFill>
                          <w14:schemeClr w14:val="tx1"/>
                        </w14:solidFill>
                      </w14:textFill>
                    </w:rPr>
                    <w:t>57</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t/a</w:t>
                  </w:r>
                </w:p>
              </w:tc>
              <w:tc>
                <w:tcPr>
                  <w:tcW w:w="912" w:type="dxa"/>
                  <w:tcBorders>
                    <w:tl2br w:val="nil"/>
                    <w:tr2bl w:val="nil"/>
                  </w:tcBorders>
                  <w:noWrap w:val="0"/>
                  <w:vAlign w:val="center"/>
                </w:tcPr>
                <w:p w14:paraId="72F9C886">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污水治理</w:t>
                  </w:r>
                </w:p>
              </w:tc>
              <w:tc>
                <w:tcPr>
                  <w:tcW w:w="519" w:type="dxa"/>
                  <w:tcBorders>
                    <w:tl2br w:val="nil"/>
                    <w:tr2bl w:val="nil"/>
                  </w:tcBorders>
                  <w:noWrap w:val="0"/>
                  <w:vAlign w:val="center"/>
                </w:tcPr>
                <w:p w14:paraId="3051B134">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液</w:t>
                  </w:r>
                </w:p>
              </w:tc>
              <w:tc>
                <w:tcPr>
                  <w:tcW w:w="685" w:type="dxa"/>
                  <w:tcBorders>
                    <w:tl2br w:val="nil"/>
                    <w:tr2bl w:val="nil"/>
                  </w:tcBorders>
                  <w:noWrap w:val="0"/>
                  <w:vAlign w:val="center"/>
                </w:tcPr>
                <w:p w14:paraId="44855E46">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矿物油</w:t>
                  </w:r>
                </w:p>
              </w:tc>
              <w:tc>
                <w:tcPr>
                  <w:tcW w:w="660" w:type="dxa"/>
                  <w:tcBorders>
                    <w:tl2br w:val="nil"/>
                    <w:tr2bl w:val="nil"/>
                  </w:tcBorders>
                  <w:noWrap w:val="0"/>
                  <w:vAlign w:val="center"/>
                </w:tcPr>
                <w:p w14:paraId="3BE52B91">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T</w:t>
                  </w:r>
                </w:p>
              </w:tc>
              <w:tc>
                <w:tcPr>
                  <w:tcW w:w="673" w:type="dxa"/>
                  <w:tcBorders>
                    <w:tl2br w:val="nil"/>
                    <w:tr2bl w:val="nil"/>
                  </w:tcBorders>
                  <w:noWrap w:val="0"/>
                  <w:vAlign w:val="center"/>
                </w:tcPr>
                <w:p w14:paraId="4872A397">
                  <w:pPr>
                    <w:topLinePunct/>
                    <w:adjustRightInd w:val="0"/>
                    <w:snapToGrid w:val="0"/>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每</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月</w:t>
                  </w:r>
                </w:p>
              </w:tc>
            </w:tr>
            <w:tr w14:paraId="689B38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7002EBF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2</w:t>
                  </w:r>
                </w:p>
              </w:tc>
              <w:tc>
                <w:tcPr>
                  <w:tcW w:w="1043" w:type="dxa"/>
                  <w:tcBorders>
                    <w:tl2br w:val="nil"/>
                    <w:tr2bl w:val="nil"/>
                  </w:tcBorders>
                  <w:noWrap w:val="0"/>
                  <w:vAlign w:val="center"/>
                </w:tcPr>
                <w:p w14:paraId="548A1ECB">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废机油及包装桶</w:t>
                  </w:r>
                </w:p>
              </w:tc>
              <w:tc>
                <w:tcPr>
                  <w:tcW w:w="1212" w:type="dxa"/>
                  <w:tcBorders>
                    <w:tl2br w:val="nil"/>
                    <w:tr2bl w:val="nil"/>
                  </w:tcBorders>
                  <w:noWrap w:val="0"/>
                  <w:vAlign w:val="center"/>
                </w:tcPr>
                <w:p w14:paraId="064BAA23">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HW08废矿物油与含矿物油废物</w:t>
                  </w:r>
                </w:p>
              </w:tc>
              <w:tc>
                <w:tcPr>
                  <w:tcW w:w="1045" w:type="dxa"/>
                  <w:tcBorders>
                    <w:tl2br w:val="nil"/>
                    <w:tr2bl w:val="nil"/>
                  </w:tcBorders>
                  <w:noWrap w:val="0"/>
                  <w:vAlign w:val="center"/>
                </w:tcPr>
                <w:p w14:paraId="6A5FC5CB">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900-249-08</w:t>
                  </w:r>
                </w:p>
              </w:tc>
              <w:tc>
                <w:tcPr>
                  <w:tcW w:w="762" w:type="dxa"/>
                  <w:tcBorders>
                    <w:tl2br w:val="nil"/>
                    <w:tr2bl w:val="nil"/>
                  </w:tcBorders>
                  <w:noWrap w:val="0"/>
                  <w:vAlign w:val="center"/>
                </w:tcPr>
                <w:p w14:paraId="41F37E94">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t>0.</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8</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t/a</w:t>
                  </w:r>
                </w:p>
              </w:tc>
              <w:tc>
                <w:tcPr>
                  <w:tcW w:w="912" w:type="dxa"/>
                  <w:tcBorders>
                    <w:tl2br w:val="nil"/>
                    <w:tr2bl w:val="nil"/>
                  </w:tcBorders>
                  <w:noWrap w:val="0"/>
                  <w:vAlign w:val="center"/>
                </w:tcPr>
                <w:p w14:paraId="466C8F04">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设备维护保养</w:t>
                  </w:r>
                </w:p>
              </w:tc>
              <w:tc>
                <w:tcPr>
                  <w:tcW w:w="519" w:type="dxa"/>
                  <w:tcBorders>
                    <w:tl2br w:val="nil"/>
                    <w:tr2bl w:val="nil"/>
                  </w:tcBorders>
                  <w:noWrap w:val="0"/>
                  <w:vAlign w:val="center"/>
                </w:tcPr>
                <w:p w14:paraId="693910B4">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kern w:val="0"/>
                      <w:szCs w:val="21"/>
                      <w:highlight w:val="none"/>
                      <w:lang w:eastAsia="zh-CN"/>
                      <w14:textFill>
                        <w14:solidFill>
                          <w14:schemeClr w14:val="tx1"/>
                        </w14:solidFill>
                      </w14:textFill>
                    </w:rPr>
                    <w:t>液</w:t>
                  </w:r>
                  <w:r>
                    <w:rPr>
                      <w:rFonts w:hint="eastAsia" w:ascii="Times New Roman" w:hAnsi="Times New Roman" w:eastAsia="宋体" w:cs="Times New Roman"/>
                      <w:color w:val="000000" w:themeColor="text1"/>
                      <w:kern w:val="0"/>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kern w:val="0"/>
                      <w:szCs w:val="21"/>
                      <w:highlight w:val="none"/>
                      <w14:textFill>
                        <w14:solidFill>
                          <w14:schemeClr w14:val="tx1"/>
                        </w14:solidFill>
                      </w14:textFill>
                    </w:rPr>
                    <w:t>固</w:t>
                  </w:r>
                </w:p>
              </w:tc>
              <w:tc>
                <w:tcPr>
                  <w:tcW w:w="685" w:type="dxa"/>
                  <w:tcBorders>
                    <w:tl2br w:val="nil"/>
                    <w:tr2bl w:val="nil"/>
                  </w:tcBorders>
                  <w:noWrap w:val="0"/>
                  <w:vAlign w:val="center"/>
                </w:tcPr>
                <w:p w14:paraId="2FEC06D3">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矿物油</w:t>
                  </w:r>
                </w:p>
              </w:tc>
              <w:tc>
                <w:tcPr>
                  <w:tcW w:w="660" w:type="dxa"/>
                  <w:tcBorders>
                    <w:tl2br w:val="nil"/>
                    <w:tr2bl w:val="nil"/>
                  </w:tcBorders>
                  <w:noWrap w:val="0"/>
                  <w:vAlign w:val="center"/>
                </w:tcPr>
                <w:p w14:paraId="3406205C">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T</w:t>
                  </w:r>
                </w:p>
              </w:tc>
              <w:tc>
                <w:tcPr>
                  <w:tcW w:w="673" w:type="dxa"/>
                  <w:tcBorders>
                    <w:tl2br w:val="nil"/>
                    <w:tr2bl w:val="nil"/>
                  </w:tcBorders>
                  <w:noWrap w:val="0"/>
                  <w:vAlign w:val="center"/>
                </w:tcPr>
                <w:p w14:paraId="16FD2EE7">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每</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月</w:t>
                  </w:r>
                </w:p>
              </w:tc>
            </w:tr>
            <w:tr w14:paraId="326B23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31" w:type="dxa"/>
                  <w:tcBorders>
                    <w:tl2br w:val="nil"/>
                    <w:tr2bl w:val="nil"/>
                  </w:tcBorders>
                  <w:noWrap w:val="0"/>
                  <w:vAlign w:val="center"/>
                </w:tcPr>
                <w:p w14:paraId="34ED7DA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3</w:t>
                  </w:r>
                </w:p>
              </w:tc>
              <w:tc>
                <w:tcPr>
                  <w:tcW w:w="1043" w:type="dxa"/>
                  <w:tcBorders>
                    <w:tl2br w:val="nil"/>
                    <w:tr2bl w:val="nil"/>
                  </w:tcBorders>
                  <w:noWrap w:val="0"/>
                  <w:vAlign w:val="center"/>
                </w:tcPr>
                <w:p w14:paraId="23C12DFB">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沾油废物</w:t>
                  </w:r>
                </w:p>
              </w:tc>
              <w:tc>
                <w:tcPr>
                  <w:tcW w:w="1212" w:type="dxa"/>
                  <w:tcBorders>
                    <w:tl2br w:val="nil"/>
                    <w:tr2bl w:val="nil"/>
                  </w:tcBorders>
                  <w:noWrap w:val="0"/>
                  <w:vAlign w:val="center"/>
                </w:tcPr>
                <w:p w14:paraId="7E3106E7">
                  <w:pPr>
                    <w:jc w:val="center"/>
                    <w:rPr>
                      <w:rFonts w:hint="default" w:ascii="Times New Roman" w:hAnsi="Times New Roman" w:eastAsia="宋体" w:cs="Times New Roman"/>
                      <w:color w:val="000000" w:themeColor="text1"/>
                      <w:szCs w:val="21"/>
                      <w:highlight w:val="none"/>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HW49</w:t>
                  </w:r>
                </w:p>
                <w:p w14:paraId="1EBD5669">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其他废物</w:t>
                  </w:r>
                </w:p>
              </w:tc>
              <w:tc>
                <w:tcPr>
                  <w:tcW w:w="1045" w:type="dxa"/>
                  <w:tcBorders>
                    <w:tl2br w:val="nil"/>
                    <w:tr2bl w:val="nil"/>
                  </w:tcBorders>
                  <w:noWrap w:val="0"/>
                  <w:vAlign w:val="center"/>
                </w:tcPr>
                <w:p w14:paraId="78A23C67">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900-041-49</w:t>
                  </w:r>
                </w:p>
              </w:tc>
              <w:tc>
                <w:tcPr>
                  <w:tcW w:w="762" w:type="dxa"/>
                  <w:tcBorders>
                    <w:tl2br w:val="nil"/>
                    <w:tr2bl w:val="nil"/>
                  </w:tcBorders>
                  <w:noWrap w:val="0"/>
                  <w:vAlign w:val="center"/>
                </w:tcPr>
                <w:p w14:paraId="010713DB">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lang w:val="en-US" w:eastAsia="zh-CN"/>
                      <w14:textFill>
                        <w14:solidFill>
                          <w14:schemeClr w14:val="tx1"/>
                        </w14:solidFill>
                      </w14:textFill>
                    </w:rPr>
                    <w:t>0.0</w:t>
                  </w:r>
                  <w:r>
                    <w:rPr>
                      <w:rFonts w:hint="eastAsia" w:ascii="Times New Roman" w:hAnsi="Times New Roman" w:eastAsia="宋体" w:cs="Times New Roman"/>
                      <w:bCs/>
                      <w:color w:val="000000" w:themeColor="text1"/>
                      <w:szCs w:val="21"/>
                      <w:highlight w:val="none"/>
                      <w:lang w:val="en-US" w:eastAsia="zh-CN"/>
                      <w14:textFill>
                        <w14:solidFill>
                          <w14:schemeClr w14:val="tx1"/>
                        </w14:solidFill>
                      </w14:textFill>
                    </w:rPr>
                    <w:t>5</w:t>
                  </w:r>
                  <w:r>
                    <w:rPr>
                      <w:rFonts w:hint="default"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t/a</w:t>
                  </w:r>
                </w:p>
              </w:tc>
              <w:tc>
                <w:tcPr>
                  <w:tcW w:w="912" w:type="dxa"/>
                  <w:tcBorders>
                    <w:tl2br w:val="nil"/>
                    <w:tr2bl w:val="nil"/>
                  </w:tcBorders>
                  <w:noWrap w:val="0"/>
                  <w:vAlign w:val="center"/>
                </w:tcPr>
                <w:p w14:paraId="225C6E89">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设备维护保养</w:t>
                  </w:r>
                </w:p>
              </w:tc>
              <w:tc>
                <w:tcPr>
                  <w:tcW w:w="519" w:type="dxa"/>
                  <w:tcBorders>
                    <w:tl2br w:val="nil"/>
                    <w:tr2bl w:val="nil"/>
                  </w:tcBorders>
                  <w:noWrap w:val="0"/>
                  <w:vAlign w:val="center"/>
                </w:tcPr>
                <w:p w14:paraId="74B9E0B8">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固</w:t>
                  </w:r>
                </w:p>
              </w:tc>
              <w:tc>
                <w:tcPr>
                  <w:tcW w:w="685" w:type="dxa"/>
                  <w:tcBorders>
                    <w:tl2br w:val="nil"/>
                    <w:tr2bl w:val="nil"/>
                  </w:tcBorders>
                  <w:noWrap w:val="0"/>
                  <w:vAlign w:val="center"/>
                </w:tcPr>
                <w:p w14:paraId="5F89C59A">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矿物油</w:t>
                  </w:r>
                </w:p>
              </w:tc>
              <w:tc>
                <w:tcPr>
                  <w:tcW w:w="660" w:type="dxa"/>
                  <w:tcBorders>
                    <w:tl2br w:val="nil"/>
                    <w:tr2bl w:val="nil"/>
                  </w:tcBorders>
                  <w:noWrap w:val="0"/>
                  <w:vAlign w:val="center"/>
                </w:tcPr>
                <w:p w14:paraId="53BB8FFF">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T</w:t>
                  </w:r>
                </w:p>
              </w:tc>
              <w:tc>
                <w:tcPr>
                  <w:tcW w:w="673" w:type="dxa"/>
                  <w:tcBorders>
                    <w:tl2br w:val="nil"/>
                    <w:tr2bl w:val="nil"/>
                  </w:tcBorders>
                  <w:noWrap w:val="0"/>
                  <w:vAlign w:val="center"/>
                </w:tcPr>
                <w:p w14:paraId="173FDAC5">
                  <w:pPr>
                    <w:topLinePunct/>
                    <w:adjustRightInd w:val="0"/>
                    <w:snapToGrid w:val="0"/>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14:textFill>
                        <w14:solidFill>
                          <w14:schemeClr w14:val="tx1"/>
                        </w14:solidFill>
                      </w14:textFill>
                    </w:rPr>
                    <w:t>每</w:t>
                  </w: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月</w:t>
                  </w:r>
                </w:p>
              </w:tc>
            </w:tr>
          </w:tbl>
          <w:p w14:paraId="4A8EC78A">
            <w:pPr>
              <w:keepNext w:val="0"/>
              <w:keepLines w:val="0"/>
              <w:pageBreakBefore w:val="0"/>
              <w:widowControl w:val="0"/>
              <w:kinsoku/>
              <w:wordWrap/>
              <w:overflowPunct/>
              <w:topLinePunct w:val="0"/>
              <w:autoSpaceDE/>
              <w:autoSpaceDN/>
              <w:bidi w:val="0"/>
              <w:adjustRightInd w:val="0"/>
              <w:snapToGrid w:val="0"/>
              <w:spacing w:before="157" w:beforeLines="50" w:line="240" w:lineRule="auto"/>
              <w:ind w:left="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表4-1</w:t>
            </w:r>
            <w:r>
              <w:rPr>
                <w:rFonts w:hint="eastAsia"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 xml:space="preserve">7    </w:t>
            </w:r>
            <w:r>
              <w:rPr>
                <w:rFonts w:hint="default" w:ascii="Times New Roman" w:hAnsi="Times New Roman" w:eastAsia="宋体" w:cs="Times New Roman"/>
                <w:b/>
                <w:bCs w:val="0"/>
                <w:color w:val="000000" w:themeColor="text1"/>
                <w:kern w:val="2"/>
                <w:sz w:val="21"/>
                <w:szCs w:val="21"/>
                <w:highlight w:val="none"/>
                <w:lang w:val="en-US" w:eastAsia="zh-CN" w:bidi="ar-SA"/>
                <w14:textFill>
                  <w14:solidFill>
                    <w14:schemeClr w14:val="tx1"/>
                  </w14:solidFill>
                </w14:textFill>
              </w:rPr>
              <w:t>项目危险废物贮存场所基本情况表</w:t>
            </w:r>
          </w:p>
          <w:tbl>
            <w:tblPr>
              <w:tblStyle w:val="21"/>
              <w:tblW w:w="7946"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85"/>
              <w:gridCol w:w="930"/>
              <w:gridCol w:w="967"/>
              <w:gridCol w:w="794"/>
              <w:gridCol w:w="795"/>
              <w:gridCol w:w="795"/>
              <w:gridCol w:w="795"/>
              <w:gridCol w:w="795"/>
              <w:gridCol w:w="795"/>
              <w:gridCol w:w="795"/>
            </w:tblGrid>
            <w:tr w14:paraId="7DF990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1D7BAE4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序号</w:t>
                  </w:r>
                </w:p>
              </w:tc>
              <w:tc>
                <w:tcPr>
                  <w:tcW w:w="930" w:type="dxa"/>
                  <w:tcBorders>
                    <w:tl2br w:val="nil"/>
                    <w:tr2bl w:val="nil"/>
                  </w:tcBorders>
                  <w:noWrap w:val="0"/>
                  <w:vAlign w:val="center"/>
                </w:tcPr>
                <w:p w14:paraId="2780CA5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贮存场所</w:t>
                  </w:r>
                </w:p>
              </w:tc>
              <w:tc>
                <w:tcPr>
                  <w:tcW w:w="967" w:type="dxa"/>
                  <w:tcBorders>
                    <w:tl2br w:val="nil"/>
                    <w:tr2bl w:val="nil"/>
                  </w:tcBorders>
                  <w:noWrap w:val="0"/>
                  <w:vAlign w:val="center"/>
                </w:tcPr>
                <w:p w14:paraId="0E2F23E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危废名称</w:t>
                  </w:r>
                </w:p>
              </w:tc>
              <w:tc>
                <w:tcPr>
                  <w:tcW w:w="794" w:type="dxa"/>
                  <w:tcBorders>
                    <w:tl2br w:val="nil"/>
                    <w:tr2bl w:val="nil"/>
                  </w:tcBorders>
                  <w:noWrap w:val="0"/>
                  <w:vAlign w:val="center"/>
                </w:tcPr>
                <w:p w14:paraId="6D1E529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危险废物类别</w:t>
                  </w:r>
                </w:p>
              </w:tc>
              <w:tc>
                <w:tcPr>
                  <w:tcW w:w="795" w:type="dxa"/>
                  <w:tcBorders>
                    <w:tl2br w:val="nil"/>
                    <w:tr2bl w:val="nil"/>
                  </w:tcBorders>
                  <w:noWrap w:val="0"/>
                  <w:vAlign w:val="center"/>
                </w:tcPr>
                <w:p w14:paraId="6D06393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危险废物代码</w:t>
                  </w:r>
                </w:p>
              </w:tc>
              <w:tc>
                <w:tcPr>
                  <w:tcW w:w="795" w:type="dxa"/>
                  <w:tcBorders>
                    <w:tl2br w:val="nil"/>
                    <w:tr2bl w:val="nil"/>
                  </w:tcBorders>
                  <w:noWrap w:val="0"/>
                  <w:vAlign w:val="center"/>
                </w:tcPr>
                <w:p w14:paraId="37382F5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位置</w:t>
                  </w:r>
                </w:p>
              </w:tc>
              <w:tc>
                <w:tcPr>
                  <w:tcW w:w="795" w:type="dxa"/>
                  <w:tcBorders>
                    <w:tl2br w:val="nil"/>
                    <w:tr2bl w:val="nil"/>
                  </w:tcBorders>
                  <w:noWrap w:val="0"/>
                  <w:vAlign w:val="center"/>
                </w:tcPr>
                <w:p w14:paraId="0DB79F4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占地</w:t>
                  </w:r>
                </w:p>
                <w:p w14:paraId="585E49C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面积</w:t>
                  </w:r>
                </w:p>
              </w:tc>
              <w:tc>
                <w:tcPr>
                  <w:tcW w:w="795" w:type="dxa"/>
                  <w:tcBorders>
                    <w:tl2br w:val="nil"/>
                    <w:tr2bl w:val="nil"/>
                  </w:tcBorders>
                  <w:noWrap w:val="0"/>
                  <w:vAlign w:val="center"/>
                </w:tcPr>
                <w:p w14:paraId="6B10F6E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w:t>
                  </w:r>
                </w:p>
                <w:p w14:paraId="56170F2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方式</w:t>
                  </w:r>
                </w:p>
              </w:tc>
              <w:tc>
                <w:tcPr>
                  <w:tcW w:w="795" w:type="dxa"/>
                  <w:tcBorders>
                    <w:tl2br w:val="nil"/>
                    <w:tr2bl w:val="nil"/>
                  </w:tcBorders>
                  <w:noWrap w:val="0"/>
                  <w:vAlign w:val="center"/>
                </w:tcPr>
                <w:p w14:paraId="7D22AF9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w:t>
                  </w:r>
                </w:p>
                <w:p w14:paraId="5EB7F23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能力</w:t>
                  </w:r>
                </w:p>
              </w:tc>
              <w:tc>
                <w:tcPr>
                  <w:tcW w:w="795" w:type="dxa"/>
                  <w:tcBorders>
                    <w:tl2br w:val="nil"/>
                    <w:tr2bl w:val="nil"/>
                  </w:tcBorders>
                  <w:noWrap w:val="0"/>
                  <w:vAlign w:val="center"/>
                </w:tcPr>
                <w:p w14:paraId="630775B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bCs w:val="0"/>
                      <w:color w:val="000000" w:themeColor="text1"/>
                      <w:kern w:val="2"/>
                      <w:sz w:val="21"/>
                      <w:szCs w:val="21"/>
                      <w:highlight w:val="none"/>
                      <w:vertAlign w:val="baseline"/>
                      <w:lang w:val="en-US" w:eastAsia="zh-CN" w:bidi="ar-SA"/>
                      <w14:textFill>
                        <w14:solidFill>
                          <w14:schemeClr w14:val="tx1"/>
                        </w14:solidFill>
                      </w14:textFill>
                    </w:rPr>
                    <w:t>贮存贮存周期</w:t>
                  </w:r>
                </w:p>
              </w:tc>
            </w:tr>
            <w:tr w14:paraId="237160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3354575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1</w:t>
                  </w:r>
                </w:p>
              </w:tc>
              <w:tc>
                <w:tcPr>
                  <w:tcW w:w="930" w:type="dxa"/>
                  <w:vMerge w:val="restart"/>
                  <w:tcBorders>
                    <w:tl2br w:val="nil"/>
                    <w:tr2bl w:val="nil"/>
                  </w:tcBorders>
                  <w:noWrap w:val="0"/>
                  <w:vAlign w:val="center"/>
                </w:tcPr>
                <w:p w14:paraId="0BD758D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危废</w:t>
                  </w:r>
                </w:p>
                <w:p w14:paraId="749CB98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暂存间</w:t>
                  </w:r>
                </w:p>
              </w:tc>
              <w:tc>
                <w:tcPr>
                  <w:tcW w:w="967" w:type="dxa"/>
                  <w:tcBorders>
                    <w:tl2br w:val="nil"/>
                    <w:tr2bl w:val="nil"/>
                  </w:tcBorders>
                  <w:noWrap w:val="0"/>
                  <w:vAlign w:val="center"/>
                </w:tcPr>
                <w:p w14:paraId="5F3A7BAE">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隔油沉淀池废油污</w:t>
                  </w:r>
                </w:p>
              </w:tc>
              <w:tc>
                <w:tcPr>
                  <w:tcW w:w="794" w:type="dxa"/>
                  <w:tcBorders>
                    <w:tl2br w:val="nil"/>
                    <w:tr2bl w:val="nil"/>
                  </w:tcBorders>
                  <w:noWrap w:val="0"/>
                  <w:vAlign w:val="center"/>
                </w:tcPr>
                <w:p w14:paraId="7D45DBE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HW08</w:t>
                  </w:r>
                </w:p>
              </w:tc>
              <w:tc>
                <w:tcPr>
                  <w:tcW w:w="795" w:type="dxa"/>
                  <w:tcBorders>
                    <w:tl2br w:val="nil"/>
                    <w:tr2bl w:val="nil"/>
                  </w:tcBorders>
                  <w:noWrap w:val="0"/>
                  <w:vAlign w:val="center"/>
                </w:tcPr>
                <w:p w14:paraId="356D6FB5">
                  <w:pPr>
                    <w:jc w:val="cente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color w:val="000000" w:themeColor="text1"/>
                      <w:szCs w:val="21"/>
                      <w:highlight w:val="none"/>
                      <w14:textFill>
                        <w14:solidFill>
                          <w14:schemeClr w14:val="tx1"/>
                        </w14:solidFill>
                      </w14:textFill>
                    </w:rPr>
                    <w:t>900-210-08</w:t>
                  </w:r>
                </w:p>
              </w:tc>
              <w:tc>
                <w:tcPr>
                  <w:tcW w:w="795" w:type="dxa"/>
                  <w:vMerge w:val="restart"/>
                  <w:tcBorders>
                    <w:tl2br w:val="nil"/>
                    <w:tr2bl w:val="nil"/>
                  </w:tcBorders>
                  <w:noWrap w:val="0"/>
                  <w:vAlign w:val="center"/>
                </w:tcPr>
                <w:p w14:paraId="44EA73C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钢筋加工场东侧</w:t>
                  </w:r>
                </w:p>
              </w:tc>
              <w:tc>
                <w:tcPr>
                  <w:tcW w:w="795" w:type="dxa"/>
                  <w:vMerge w:val="restart"/>
                  <w:tcBorders>
                    <w:tl2br w:val="nil"/>
                    <w:tr2bl w:val="nil"/>
                  </w:tcBorders>
                  <w:noWrap w:val="0"/>
                  <w:vAlign w:val="center"/>
                </w:tcPr>
                <w:p w14:paraId="08804A6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t>3</w:t>
                  </w:r>
                  <w:r>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t>m</w:t>
                  </w:r>
                  <w:r>
                    <w:rPr>
                      <w:rFonts w:hint="default" w:ascii="Times New Roman" w:hAnsi="Times New Roman" w:eastAsia="宋体" w:cs="Times New Roman"/>
                      <w:b w:val="0"/>
                      <w:bCs/>
                      <w:color w:val="000000" w:themeColor="text1"/>
                      <w:kern w:val="2"/>
                      <w:sz w:val="21"/>
                      <w:szCs w:val="21"/>
                      <w:highlight w:val="none"/>
                      <w:vertAlign w:val="superscript"/>
                      <w:lang w:val="en-US" w:eastAsia="zh-CN" w:bidi="ar-SA"/>
                      <w14:textFill>
                        <w14:solidFill>
                          <w14:schemeClr w14:val="tx1"/>
                        </w14:solidFill>
                      </w14:textFill>
                    </w:rPr>
                    <w:t>2</w:t>
                  </w:r>
                </w:p>
              </w:tc>
              <w:tc>
                <w:tcPr>
                  <w:tcW w:w="795" w:type="dxa"/>
                  <w:tcBorders>
                    <w:tl2br w:val="nil"/>
                    <w:tr2bl w:val="nil"/>
                  </w:tcBorders>
                  <w:noWrap w:val="0"/>
                  <w:vAlign w:val="center"/>
                </w:tcPr>
                <w:p w14:paraId="5BD8068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桶装</w:t>
                  </w:r>
                </w:p>
              </w:tc>
              <w:tc>
                <w:tcPr>
                  <w:tcW w:w="795" w:type="dxa"/>
                  <w:tcBorders>
                    <w:tl2br w:val="nil"/>
                    <w:tr2bl w:val="nil"/>
                  </w:tcBorders>
                  <w:noWrap w:val="0"/>
                  <w:vAlign w:val="center"/>
                </w:tcPr>
                <w:p w14:paraId="72CB5FA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0.5t</w:t>
                  </w:r>
                </w:p>
              </w:tc>
              <w:tc>
                <w:tcPr>
                  <w:tcW w:w="795" w:type="dxa"/>
                  <w:tcBorders>
                    <w:tl2br w:val="nil"/>
                    <w:tr2bl w:val="nil"/>
                  </w:tcBorders>
                  <w:noWrap w:val="0"/>
                  <w:vAlign w:val="center"/>
                </w:tcPr>
                <w:p w14:paraId="14FE6F6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w:t>
                  </w:r>
                </w:p>
              </w:tc>
            </w:tr>
            <w:tr w14:paraId="0248BA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7FF089B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2</w:t>
                  </w:r>
                </w:p>
              </w:tc>
              <w:tc>
                <w:tcPr>
                  <w:tcW w:w="930" w:type="dxa"/>
                  <w:vMerge w:val="continue"/>
                  <w:tcBorders>
                    <w:tl2br w:val="nil"/>
                    <w:tr2bl w:val="nil"/>
                  </w:tcBorders>
                  <w:noWrap w:val="0"/>
                  <w:vAlign w:val="center"/>
                </w:tcPr>
                <w:p w14:paraId="2580221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967" w:type="dxa"/>
                  <w:tcBorders>
                    <w:tl2br w:val="nil"/>
                    <w:tr2bl w:val="nil"/>
                  </w:tcBorders>
                  <w:noWrap w:val="0"/>
                  <w:vAlign w:val="center"/>
                </w:tcPr>
                <w:p w14:paraId="07AC5429">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废机油及包装桶</w:t>
                  </w:r>
                </w:p>
              </w:tc>
              <w:tc>
                <w:tcPr>
                  <w:tcW w:w="794" w:type="dxa"/>
                  <w:tcBorders>
                    <w:tl2br w:val="nil"/>
                    <w:tr2bl w:val="nil"/>
                  </w:tcBorders>
                  <w:noWrap w:val="0"/>
                  <w:vAlign w:val="center"/>
                </w:tcPr>
                <w:p w14:paraId="31F75BC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HW08</w:t>
                  </w:r>
                </w:p>
              </w:tc>
              <w:tc>
                <w:tcPr>
                  <w:tcW w:w="795" w:type="dxa"/>
                  <w:tcBorders>
                    <w:tl2br w:val="nil"/>
                    <w:tr2bl w:val="nil"/>
                  </w:tcBorders>
                  <w:noWrap w:val="0"/>
                  <w:vAlign w:val="center"/>
                </w:tcPr>
                <w:p w14:paraId="41137F99">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900-249-08</w:t>
                  </w:r>
                </w:p>
              </w:tc>
              <w:tc>
                <w:tcPr>
                  <w:tcW w:w="795" w:type="dxa"/>
                  <w:vMerge w:val="continue"/>
                  <w:tcBorders>
                    <w:tl2br w:val="nil"/>
                    <w:tr2bl w:val="nil"/>
                  </w:tcBorders>
                  <w:noWrap w:val="0"/>
                  <w:vAlign w:val="center"/>
                </w:tcPr>
                <w:p w14:paraId="02A5BDD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vMerge w:val="continue"/>
                  <w:tcBorders>
                    <w:tl2br w:val="nil"/>
                    <w:tr2bl w:val="nil"/>
                  </w:tcBorders>
                  <w:noWrap w:val="0"/>
                  <w:vAlign w:val="center"/>
                </w:tcPr>
                <w:p w14:paraId="2AD7EFE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tcBorders>
                    <w:tl2br w:val="nil"/>
                    <w:tr2bl w:val="nil"/>
                  </w:tcBorders>
                  <w:noWrap w:val="0"/>
                  <w:vAlign w:val="center"/>
                </w:tcPr>
                <w:p w14:paraId="5E566BE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桶装</w:t>
                  </w:r>
                </w:p>
              </w:tc>
              <w:tc>
                <w:tcPr>
                  <w:tcW w:w="795" w:type="dxa"/>
                  <w:tcBorders>
                    <w:tl2br w:val="nil"/>
                    <w:tr2bl w:val="nil"/>
                  </w:tcBorders>
                  <w:noWrap w:val="0"/>
                  <w:vAlign w:val="center"/>
                </w:tcPr>
                <w:p w14:paraId="43F66BB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0.5t</w:t>
                  </w:r>
                </w:p>
              </w:tc>
              <w:tc>
                <w:tcPr>
                  <w:tcW w:w="795" w:type="dxa"/>
                  <w:tcBorders>
                    <w:tl2br w:val="nil"/>
                    <w:tr2bl w:val="nil"/>
                  </w:tcBorders>
                  <w:noWrap w:val="0"/>
                  <w:vAlign w:val="center"/>
                </w:tcPr>
                <w:p w14:paraId="445D65D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w:t>
                  </w:r>
                </w:p>
              </w:tc>
            </w:tr>
            <w:tr w14:paraId="522A06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85" w:type="dxa"/>
                  <w:tcBorders>
                    <w:tl2br w:val="nil"/>
                    <w:tr2bl w:val="nil"/>
                  </w:tcBorders>
                  <w:noWrap w:val="0"/>
                  <w:vAlign w:val="center"/>
                </w:tcPr>
                <w:p w14:paraId="74011E5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3</w:t>
                  </w:r>
                </w:p>
              </w:tc>
              <w:tc>
                <w:tcPr>
                  <w:tcW w:w="930" w:type="dxa"/>
                  <w:vMerge w:val="continue"/>
                  <w:tcBorders>
                    <w:tl2br w:val="nil"/>
                    <w:tr2bl w:val="nil"/>
                  </w:tcBorders>
                  <w:noWrap w:val="0"/>
                  <w:vAlign w:val="center"/>
                </w:tcPr>
                <w:p w14:paraId="6952B88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967" w:type="dxa"/>
                  <w:tcBorders>
                    <w:tl2br w:val="nil"/>
                    <w:tr2bl w:val="nil"/>
                  </w:tcBorders>
                  <w:noWrap w:val="0"/>
                  <w:vAlign w:val="center"/>
                </w:tcPr>
                <w:p w14:paraId="2B82F14D">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kern w:val="0"/>
                      <w:szCs w:val="21"/>
                      <w:highlight w:val="none"/>
                      <w:lang w:eastAsia="zh-CN"/>
                      <w14:textFill>
                        <w14:solidFill>
                          <w14:schemeClr w14:val="tx1"/>
                        </w14:solidFill>
                      </w14:textFill>
                    </w:rPr>
                    <w:t>沾油废物</w:t>
                  </w:r>
                </w:p>
              </w:tc>
              <w:tc>
                <w:tcPr>
                  <w:tcW w:w="794" w:type="dxa"/>
                  <w:tcBorders>
                    <w:tl2br w:val="nil"/>
                    <w:tr2bl w:val="nil"/>
                  </w:tcBorders>
                  <w:noWrap w:val="0"/>
                  <w:vAlign w:val="center"/>
                </w:tcPr>
                <w:p w14:paraId="69FD1DF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HW49</w:t>
                  </w:r>
                </w:p>
              </w:tc>
              <w:tc>
                <w:tcPr>
                  <w:tcW w:w="795" w:type="dxa"/>
                  <w:tcBorders>
                    <w:tl2br w:val="nil"/>
                    <w:tr2bl w:val="nil"/>
                  </w:tcBorders>
                  <w:noWrap w:val="0"/>
                  <w:vAlign w:val="center"/>
                </w:tcPr>
                <w:p w14:paraId="36417CCA">
                  <w:pPr>
                    <w:jc w:val="cente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color w:val="000000" w:themeColor="text1"/>
                      <w:szCs w:val="21"/>
                      <w:highlight w:val="none"/>
                      <w14:textFill>
                        <w14:solidFill>
                          <w14:schemeClr w14:val="tx1"/>
                        </w14:solidFill>
                      </w14:textFill>
                    </w:rPr>
                    <w:t>900-041-49</w:t>
                  </w:r>
                </w:p>
              </w:tc>
              <w:tc>
                <w:tcPr>
                  <w:tcW w:w="795" w:type="dxa"/>
                  <w:vMerge w:val="continue"/>
                  <w:tcBorders>
                    <w:tl2br w:val="nil"/>
                    <w:tr2bl w:val="nil"/>
                  </w:tcBorders>
                  <w:noWrap w:val="0"/>
                  <w:vAlign w:val="center"/>
                </w:tcPr>
                <w:p w14:paraId="7038BFA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vMerge w:val="continue"/>
                  <w:tcBorders>
                    <w:tl2br w:val="nil"/>
                    <w:tr2bl w:val="nil"/>
                  </w:tcBorders>
                  <w:noWrap w:val="0"/>
                  <w:vAlign w:val="center"/>
                </w:tcPr>
                <w:p w14:paraId="78F7625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p>
              </w:tc>
              <w:tc>
                <w:tcPr>
                  <w:tcW w:w="795" w:type="dxa"/>
                  <w:tcBorders>
                    <w:tl2br w:val="nil"/>
                    <w:tr2bl w:val="nil"/>
                  </w:tcBorders>
                  <w:noWrap w:val="0"/>
                  <w:vAlign w:val="center"/>
                </w:tcPr>
                <w:p w14:paraId="2CBC12A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袋装</w:t>
                  </w:r>
                </w:p>
              </w:tc>
              <w:tc>
                <w:tcPr>
                  <w:tcW w:w="795" w:type="dxa"/>
                  <w:tcBorders>
                    <w:tl2br w:val="nil"/>
                    <w:tr2bl w:val="nil"/>
                  </w:tcBorders>
                  <w:noWrap w:val="0"/>
                  <w:vAlign w:val="center"/>
                </w:tcPr>
                <w:p w14:paraId="2F365F4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0.5t</w:t>
                  </w:r>
                </w:p>
              </w:tc>
              <w:tc>
                <w:tcPr>
                  <w:tcW w:w="795" w:type="dxa"/>
                  <w:tcBorders>
                    <w:tl2br w:val="nil"/>
                    <w:tr2bl w:val="nil"/>
                  </w:tcBorders>
                  <w:noWrap w:val="0"/>
                  <w:vAlign w:val="center"/>
                </w:tcPr>
                <w:p w14:paraId="1FF7493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1"/>
                      <w:szCs w:val="21"/>
                      <w:highlight w:val="none"/>
                      <w:vertAlign w:val="baseline"/>
                      <w:lang w:val="en-US" w:eastAsia="zh-CN" w:bidi="ar-SA"/>
                      <w14:textFill>
                        <w14:solidFill>
                          <w14:schemeClr w14:val="tx1"/>
                        </w14:solidFill>
                      </w14:textFill>
                    </w:rPr>
                    <w:t>/</w:t>
                  </w:r>
                </w:p>
              </w:tc>
            </w:tr>
          </w:tbl>
          <w:p w14:paraId="69C37717">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2、环境管理要求</w:t>
            </w:r>
          </w:p>
          <w:p w14:paraId="7CEE519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（1）一般固废管理要求</w:t>
            </w:r>
          </w:p>
          <w:p w14:paraId="3031981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建设单位需要在明显位置设置相应的固废分类暂存设施，并设置标识标牌，做到</w:t>
            </w:r>
            <w:r>
              <w:rPr>
                <w:rFonts w:ascii="宋体" w:hAnsi="宋体" w:eastAsia="宋体" w:cs="宋体"/>
                <w:color w:val="000000" w:themeColor="text1"/>
                <w:sz w:val="24"/>
                <w:szCs w:val="24"/>
                <w:highlight w:val="none"/>
                <w14:textFill>
                  <w14:solidFill>
                    <w14:schemeClr w14:val="tx1"/>
                  </w14:solidFill>
                </w14:textFill>
              </w:rPr>
              <w:t>防渗漏、防雨淋、防扬尘</w:t>
            </w:r>
            <w:r>
              <w:rPr>
                <w:rFonts w:hint="eastAsia"/>
                <w:color w:val="000000" w:themeColor="text1"/>
                <w:sz w:val="24"/>
                <w:szCs w:val="24"/>
                <w:highlight w:val="none"/>
                <w14:textFill>
                  <w14:solidFill>
                    <w14:schemeClr w14:val="tx1"/>
                  </w14:solidFill>
                </w14:textFill>
              </w:rPr>
              <w:t>，并将产生的废弃物分类存放于标识的容器内或存放区，不得在厂区内乱扔、乱堆。</w:t>
            </w:r>
          </w:p>
          <w:p w14:paraId="723FB44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（2）危险废物管理要求</w:t>
            </w:r>
          </w:p>
          <w:p w14:paraId="78B013B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危险废物的具体暂存、贮存和管理措施如下：</w:t>
            </w:r>
          </w:p>
          <w:p w14:paraId="2A430A0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危险废物厂区暂存要求：根据</w:t>
            </w:r>
            <w:r>
              <w:rPr>
                <w:rFonts w:ascii="宋体" w:hAnsi="宋体" w:eastAsia="宋体" w:cs="宋体"/>
                <w:sz w:val="24"/>
                <w:szCs w:val="24"/>
              </w:rPr>
              <w:t>《中华人民共和国固体废物污染环境防治法》</w:t>
            </w:r>
            <w:r>
              <w:rPr>
                <w:rFonts w:hint="eastAsia"/>
                <w:color w:val="000000" w:themeColor="text1"/>
                <w:sz w:val="24"/>
                <w:szCs w:val="24"/>
                <w:highlight w:val="none"/>
                <w14:textFill>
                  <w14:solidFill>
                    <w14:schemeClr w14:val="tx1"/>
                  </w14:solidFill>
                </w14:textFill>
              </w:rPr>
              <w:t>规定要求，项目所产生的危险废物应按国家环保总局令第5号《危险废物转移联单管理办法》中五联单制度规定进行处理处置。根据国家《危险废物贮存污染控制标准》（GB18597-2001）中有关规定，危险废物在厂内存放期间，应使用完好无损容器盛装；用以存放装置液体、半固体危险废物容器的地方，必须有耐腐蚀的硬化地面，且表面无裂痕。严禁将固体废物、危险废物随意露天堆放，其收集桶或箱的存放场所要做重点防渗处理（具体防渗措施见地下水防控措施），防止污染地下水。</w:t>
            </w:r>
          </w:p>
          <w:p w14:paraId="002D611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贮存：A、建立专用的危险废物贮存设施或专用贮存区域，做到危险废物分类收集、分区存放，并设置危险废物警示标志，严防被挪作他用；B、危险废物贮存区地面与裙脚要用坚固、防渗的材料建造，建筑材料必须与危险废物相容；用以存放装载液体、半固体危险废物容器的地方，必须有耐腐蚀的硬化地面，且表面无裂隙；C、危险废物分类贮存，采取有效隔离措施。</w:t>
            </w:r>
          </w:p>
          <w:p w14:paraId="00F2DBB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险废物管理措施：A、制定危险废物管理制度；B、减少危险废物产生措施，推广清洁生产，避免或减少危险废物的产生；C、作好危险废物情况的记录，记录上须注明危险废物的名称、来源、数量、特性和包装容器的类别、入库日期、存放库位、废物出库日期及接收单位名称；D、定期对所贮存的危险废物包装容器及贮存设施进行检查，发现破损，及时采取措施清理更换；E、公司按照国家有关规定制定危险废物管理计划，并向当地环保行政主管部门申报危险废物的种类、生产量、流向、储存、处置等有关资料，如实记录企业生产的危险废物的种类、数量、利用、贮存、处置、流向等信息，与生产记录结合，建立危险废物台账，并依据台账做好危险废物的申报登记工作；F、产生危险废物的车间按照公司环境保护管理的相关规定对危险废物进行管理、贮存、利用、处置。</w:t>
            </w:r>
          </w:p>
          <w:p w14:paraId="2E56ECF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危废暂存间要求：</w:t>
            </w:r>
          </w:p>
          <w:p w14:paraId="2CFB626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A、危险废物储存容器底部设置防泄漏不锈钢托盘（托盘边缘高于托盘中部1~2cm），防止危废泄漏。</w:t>
            </w:r>
          </w:p>
          <w:p w14:paraId="1CD97B8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B、危废暂存间要做好防渗措施，同时做好防风、防雨、防晒措施。</w:t>
            </w:r>
          </w:p>
          <w:p w14:paraId="60434C1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C、危废暂存间应设置明显的危险废物警示标识。</w:t>
            </w:r>
          </w:p>
          <w:p w14:paraId="68579B1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D、暂存的危险废物定期交由有资质的单位进行清运，不做大量堆积，由专人对危废进行管理，危废物品要单独设置台账，按每工作日记录危废的产生、堆积、清运量，做到产消有记录，按责任制管，同时危险废物的移交严格执行危废联单制度，存储期间严格按照《危险废物贮存污染控制标准》（GB18597-2001）执行。</w:t>
            </w:r>
          </w:p>
          <w:p w14:paraId="56C1E5C4">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①做好每次外运处置废弃物的运输登记、认真填写危险废物转移联单（每种废物填写一份联单），并加盖公司公章，经运输单位核实验收签字后，将联单第一联副联自留存档，将联单第二联交移出当地环境保护行政主管部门，第三联及其余各联交付运输单位，随危险废物转移运行。第四联交接收单位，第五联交接受地生态环境局。</w:t>
            </w:r>
          </w:p>
          <w:p w14:paraId="56CA1234">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②废弃物处置单位的运输人员必须掌握危险化学品运输的安全知识，了解所运载的危险化学品的性质、危害特性、包装容器的使用特性和发生意外时的应急措施。运输车辆必须具有车辆危险货物运输许可证。驾驶人员必须取得驾驶执照的熟练人员担任。</w:t>
            </w:r>
          </w:p>
          <w:p w14:paraId="31571671">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③处置单位在运输危险废物时，必须配备押运人员，并随时处于押运人员的监管之下，不得超载、超装，不得进入危险品运输车辆禁止通行的区域；确需进入禁止通行区域的，应当向地公安部门报告，由公安部门为其指定行车时间和路线，运输车辆必须遵守公安部门规定的行车时间和路线。</w:t>
            </w:r>
          </w:p>
          <w:p w14:paraId="125504AB">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④危险废物运输过程中若发生被盗、丢失、流散、泄露等情况时，公司及押人员必须立即向公安部门报告，并采取一切可能的警示措施。</w:t>
            </w:r>
          </w:p>
          <w:p w14:paraId="4644AF3A">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⑤一旦发生危险废物泄露事故，公司和危险废物处置单位都应积极协助有关部门采取必要的安全措施，减少事故损失，防止事故蔓延、扩大；针对事故对人体、动植物、土壤、水源空气造成的现实危害和可能产生的危害，应迅速采取封闭、隔离、洗消等措施，并对事故造成的危害进行监测、处置，直至符合国家环境保护标准。</w:t>
            </w:r>
          </w:p>
          <w:p w14:paraId="495F3AB5">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其他管理要求</w:t>
            </w:r>
            <w:r>
              <w:rPr>
                <w:rFonts w:hint="eastAsia"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w:t>
            </w:r>
          </w:p>
          <w:p w14:paraId="5B9AFC76">
            <w:pPr>
              <w:widowControl w:val="0"/>
              <w:adjustRightInd w:val="0"/>
              <w:snapToGrid w:val="0"/>
              <w:spacing w:line="360" w:lineRule="auto"/>
              <w:ind w:left="0" w:right="118" w:firstLine="480" w:firstLineChars="200"/>
              <w:jc w:val="both"/>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加强技术人员的技能培训，严禁将危险废物直接外排。危险废物应建立危险废物贮存的台帐制度，危险废物出入实行联单制度，确保危险废物的不遗失。危险废物与一般固废应分别收集、暂存。</w:t>
            </w:r>
          </w:p>
          <w:p w14:paraId="387C031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bCs/>
                <w:color w:val="000000" w:themeColor="text1"/>
                <w:kern w:val="2"/>
                <w:sz w:val="24"/>
                <w:szCs w:val="24"/>
                <w:highlight w:val="none"/>
                <w:lang w:val="en-US" w:eastAsia="zh-CN" w:bidi="ar-SA"/>
                <w14:textFill>
                  <w14:solidFill>
                    <w14:schemeClr w14:val="tx1"/>
                  </w14:solidFill>
                </w14:textFill>
              </w:rPr>
              <w:t>综上所述，本项目产生的各种固体废物均有合理可行处置去向，在厂内暂存时不会造成二次污染，不会对环境造成不利影响。</w:t>
            </w:r>
          </w:p>
          <w:p w14:paraId="56A9415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五、地下水、土壤影响及污染防治</w:t>
            </w:r>
          </w:p>
          <w:p w14:paraId="4254D2D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本项目不向地下注水和排水，正常情况下不会对地下水造成污染影响。</w:t>
            </w:r>
          </w:p>
          <w:p w14:paraId="2F134CF7">
            <w:pPr>
              <w:pStyle w:val="10"/>
              <w:keepNext w:val="0"/>
              <w:keepLines w:val="0"/>
              <w:pageBreakBefore w:val="0"/>
              <w:widowControl w:val="0"/>
              <w:numPr>
                <w:ilvl w:val="0"/>
                <w:numId w:val="5"/>
              </w:numPr>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源头控制措施</w:t>
            </w:r>
          </w:p>
          <w:p w14:paraId="4618BEF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应根据国家现行相关规范加强环境管理，采取防止和降低污染物跑、冒、滴、漏的措施。正常运营过程中应加强机修过程中污染物跑、冒、滴、漏，同时应加强对防渗工程的检查，若发现防渗密封材料老化或损坏，应及时维修更换。</w:t>
            </w:r>
          </w:p>
          <w:p w14:paraId="11EEBF50">
            <w:pPr>
              <w:pStyle w:val="10"/>
              <w:keepNext w:val="0"/>
              <w:keepLines w:val="0"/>
              <w:pageBreakBefore w:val="0"/>
              <w:widowControl w:val="0"/>
              <w:numPr>
                <w:ilvl w:val="0"/>
                <w:numId w:val="5"/>
              </w:numPr>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分区防治措施</w:t>
            </w:r>
          </w:p>
          <w:p w14:paraId="5B1586E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结合项目建设情况，项目营运期可能造成地下水和土壤污染的位置为危废暂存间，其污染物为废机油，通过泄漏或渗透污染地下水和土壤环境。</w:t>
            </w:r>
          </w:p>
          <w:p w14:paraId="1122E77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结合项目实际情况，为防治项目营运期生产过程中对项目所在区域地下水、土壤环境产生影响，本着地下水、土壤污染防治措施和对策，坚持“源头控制、分区防控、污染监控、应急响应，重点突出饮用水水质安全”的原则，将项目厂区划分为重点防渗区、一般防渗区、简单防渗区，具体划分及防渗措施见下表：</w:t>
            </w:r>
          </w:p>
          <w:p w14:paraId="5230FED7">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-1</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8</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项目分区防渗一览表</w:t>
            </w:r>
          </w:p>
          <w:tbl>
            <w:tblPr>
              <w:tblStyle w:val="20"/>
              <w:tblW w:w="8048"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57" w:type="dxa"/>
                <w:bottom w:w="0" w:type="dxa"/>
                <w:right w:w="57" w:type="dxa"/>
              </w:tblCellMar>
            </w:tblPr>
            <w:tblGrid>
              <w:gridCol w:w="1197"/>
              <w:gridCol w:w="1967"/>
              <w:gridCol w:w="4010"/>
              <w:gridCol w:w="874"/>
            </w:tblGrid>
            <w:tr w14:paraId="104086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3164" w:type="dxa"/>
                  <w:gridSpan w:val="2"/>
                  <w:tcBorders>
                    <w:tl2br w:val="nil"/>
                    <w:tr2bl w:val="nil"/>
                  </w:tcBorders>
                  <w:noWrap w:val="0"/>
                  <w:vAlign w:val="center"/>
                </w:tcPr>
                <w:p w14:paraId="0BA6B0C8">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防渗分区</w:t>
                  </w:r>
                </w:p>
              </w:tc>
              <w:tc>
                <w:tcPr>
                  <w:tcW w:w="4010" w:type="dxa"/>
                  <w:tcBorders>
                    <w:tl2br w:val="nil"/>
                    <w:tr2bl w:val="nil"/>
                  </w:tcBorders>
                  <w:noWrap w:val="0"/>
                  <w:vAlign w:val="center"/>
                </w:tcPr>
                <w:p w14:paraId="7B472A85">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t>拟采取</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防渗措施</w:t>
                  </w:r>
                </w:p>
              </w:tc>
              <w:tc>
                <w:tcPr>
                  <w:tcW w:w="874" w:type="dxa"/>
                  <w:tcBorders>
                    <w:tl2br w:val="nil"/>
                    <w:tr2bl w:val="nil"/>
                  </w:tcBorders>
                  <w:noWrap w:val="0"/>
                  <w:vAlign w:val="center"/>
                </w:tcPr>
                <w:p w14:paraId="0B5316C5">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是否满足要求</w:t>
                  </w:r>
                </w:p>
              </w:tc>
            </w:tr>
            <w:tr w14:paraId="1C17DC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vMerge w:val="restart"/>
                  <w:tcBorders>
                    <w:tl2br w:val="nil"/>
                    <w:tr2bl w:val="nil"/>
                  </w:tcBorders>
                  <w:noWrap w:val="0"/>
                  <w:vAlign w:val="center"/>
                </w:tcPr>
                <w:p w14:paraId="1B15BDF1">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重点防渗区</w:t>
                  </w:r>
                </w:p>
              </w:tc>
              <w:tc>
                <w:tcPr>
                  <w:tcW w:w="1967" w:type="dxa"/>
                  <w:tcBorders>
                    <w:tl2br w:val="nil"/>
                    <w:tr2bl w:val="nil"/>
                  </w:tcBorders>
                  <w:noWrap w:val="0"/>
                  <w:vAlign w:val="center"/>
                </w:tcPr>
                <w:p w14:paraId="1D270E80">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危废暂存间</w:t>
                  </w:r>
                </w:p>
              </w:tc>
              <w:tc>
                <w:tcPr>
                  <w:tcW w:w="4010" w:type="dxa"/>
                  <w:tcBorders>
                    <w:tl2br w:val="nil"/>
                    <w:tr2bl w:val="nil"/>
                  </w:tcBorders>
                  <w:noWrap w:val="0"/>
                  <w:vAlign w:val="center"/>
                </w:tcPr>
                <w:p w14:paraId="26AD0247">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抗渗混凝土+至少2mm的环氧树脂防渗面层防腐+不锈钢托盘</w:t>
                  </w:r>
                  <w: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确保达到等效黏土防渗层 Mb≥6m，K≤1.0×10</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-10</w:t>
                  </w:r>
                  <w:r>
                    <w:rPr>
                      <w:rFonts w:hint="default" w:ascii="Times New Roman" w:hAnsi="Times New Roman" w:eastAsia="宋体" w:cs="Times New Roman"/>
                      <w:color w:val="000000" w:themeColor="text1"/>
                      <w:sz w:val="21"/>
                      <w:szCs w:val="21"/>
                      <w:highlight w:val="none"/>
                      <w14:textFill>
                        <w14:solidFill>
                          <w14:schemeClr w14:val="tx1"/>
                        </w14:solidFill>
                      </w14:textFill>
                    </w:rPr>
                    <w:t>cm/s。</w:t>
                  </w:r>
                </w:p>
              </w:tc>
              <w:tc>
                <w:tcPr>
                  <w:tcW w:w="874" w:type="dxa"/>
                  <w:tcBorders>
                    <w:tl2br w:val="nil"/>
                    <w:tr2bl w:val="nil"/>
                  </w:tcBorders>
                  <w:noWrap w:val="0"/>
                  <w:vAlign w:val="center"/>
                </w:tcPr>
                <w:p w14:paraId="376E1C15">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0D1FA7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vMerge w:val="continue"/>
                  <w:tcBorders>
                    <w:tl2br w:val="nil"/>
                    <w:tr2bl w:val="nil"/>
                  </w:tcBorders>
                  <w:noWrap w:val="0"/>
                  <w:vAlign w:val="center"/>
                </w:tcPr>
                <w:p w14:paraId="0DF8C95C">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967" w:type="dxa"/>
                  <w:tcBorders>
                    <w:tl2br w:val="nil"/>
                    <w:tr2bl w:val="nil"/>
                  </w:tcBorders>
                  <w:noWrap w:val="0"/>
                  <w:vAlign w:val="center"/>
                </w:tcPr>
                <w:p w14:paraId="1377F4CA">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辅料库房（减水剂、脱模剂及机油堆放）</w:t>
                  </w:r>
                </w:p>
              </w:tc>
              <w:tc>
                <w:tcPr>
                  <w:tcW w:w="4010" w:type="dxa"/>
                  <w:tcBorders>
                    <w:tl2br w:val="nil"/>
                    <w:tr2bl w:val="nil"/>
                  </w:tcBorders>
                  <w:noWrap w:val="0"/>
                  <w:vAlign w:val="center"/>
                </w:tcPr>
                <w:p w14:paraId="4C975199">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抗渗混凝土+至少2mm的环氧树脂防渗面层防腐</w:t>
                  </w:r>
                  <w: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确保达到等效黏土防渗层 Mb≥6m，K≤1.0×10</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w:t>
                  </w:r>
                  <w:r>
                    <w:rPr>
                      <w:rFonts w:hint="eastAsia"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14:textFill>
                        <w14:solidFill>
                          <w14:schemeClr w14:val="tx1"/>
                        </w14:solidFill>
                      </w14:textFill>
                    </w:rPr>
                    <w:t>cm/s。</w:t>
                  </w:r>
                </w:p>
              </w:tc>
              <w:tc>
                <w:tcPr>
                  <w:tcW w:w="874" w:type="dxa"/>
                  <w:tcBorders>
                    <w:tl2br w:val="nil"/>
                    <w:tr2bl w:val="nil"/>
                  </w:tcBorders>
                  <w:noWrap w:val="0"/>
                  <w:vAlign w:val="center"/>
                </w:tcPr>
                <w:p w14:paraId="27A29512">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1DF7ED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vMerge w:val="continue"/>
                  <w:tcBorders>
                    <w:tl2br w:val="nil"/>
                    <w:tr2bl w:val="nil"/>
                  </w:tcBorders>
                  <w:noWrap w:val="0"/>
                  <w:vAlign w:val="center"/>
                </w:tcPr>
                <w:p w14:paraId="284F13B1">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967" w:type="dxa"/>
                  <w:tcBorders>
                    <w:tl2br w:val="nil"/>
                    <w:tr2bl w:val="nil"/>
                  </w:tcBorders>
                  <w:noWrap w:val="0"/>
                  <w:vAlign w:val="center"/>
                </w:tcPr>
                <w:p w14:paraId="3ADFE83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隔油沉淀池</w:t>
                  </w:r>
                </w:p>
              </w:tc>
              <w:tc>
                <w:tcPr>
                  <w:tcW w:w="4010" w:type="dxa"/>
                  <w:tcBorders>
                    <w:tl2br w:val="nil"/>
                    <w:tr2bl w:val="nil"/>
                  </w:tcBorders>
                  <w:noWrap w:val="0"/>
                  <w:vAlign w:val="center"/>
                </w:tcPr>
                <w:p w14:paraId="046CAC0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防渗混凝土（15cmC30混凝土，抗渗等级P6）+</w:t>
                  </w:r>
                  <w:r>
                    <w:rPr>
                      <w:rFonts w:hint="default" w:ascii="Times New Roman" w:hAnsi="Times New Roman" w:eastAsia="宋体" w:cs="Times New Roman"/>
                      <w:color w:val="000000" w:themeColor="text1"/>
                      <w:sz w:val="21"/>
                      <w:szCs w:val="21"/>
                      <w:highlight w:val="none"/>
                      <w14:textFill>
                        <w14:solidFill>
                          <w14:schemeClr w14:val="tx1"/>
                        </w14:solidFill>
                      </w14:textFill>
                    </w:rPr>
                    <w:t>2mm厚HDPE（高密度聚乙烯膜）</w:t>
                  </w:r>
                  <w: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确保达到等效黏土防渗层 Mb≥6m，K≤1.0×10</w:t>
                  </w:r>
                  <w:r>
                    <w:rPr>
                      <w:rFonts w:hint="default" w:ascii="Times New Roman" w:hAnsi="Times New Roman" w:eastAsia="宋体" w:cs="Times New Roman"/>
                      <w:color w:val="000000" w:themeColor="text1"/>
                      <w:sz w:val="21"/>
                      <w:szCs w:val="21"/>
                      <w:highlight w:val="none"/>
                      <w:vertAlign w:val="superscript"/>
                      <w14:textFill>
                        <w14:solidFill>
                          <w14:schemeClr w14:val="tx1"/>
                        </w14:solidFill>
                      </w14:textFill>
                    </w:rPr>
                    <w:t>-</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14:textFill>
                        <w14:solidFill>
                          <w14:schemeClr w14:val="tx1"/>
                        </w14:solidFill>
                      </w14:textFill>
                    </w:rPr>
                    <w:t>cm/s。</w:t>
                  </w:r>
                </w:p>
              </w:tc>
              <w:tc>
                <w:tcPr>
                  <w:tcW w:w="874" w:type="dxa"/>
                  <w:tcBorders>
                    <w:tl2br w:val="nil"/>
                    <w:tr2bl w:val="nil"/>
                  </w:tcBorders>
                  <w:noWrap w:val="0"/>
                  <w:vAlign w:val="center"/>
                </w:tcPr>
                <w:p w14:paraId="594A9F3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510FAA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tcBorders>
                    <w:tl2br w:val="nil"/>
                    <w:tr2bl w:val="nil"/>
                  </w:tcBorders>
                  <w:noWrap w:val="0"/>
                  <w:vAlign w:val="center"/>
                </w:tcPr>
                <w:p w14:paraId="37C325B2">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一般防渗区</w:t>
                  </w:r>
                </w:p>
              </w:tc>
              <w:tc>
                <w:tcPr>
                  <w:tcW w:w="1967" w:type="dxa"/>
                  <w:tcBorders>
                    <w:tl2br w:val="nil"/>
                    <w:tr2bl w:val="nil"/>
                  </w:tcBorders>
                  <w:noWrap w:val="0"/>
                  <w:vAlign w:val="center"/>
                </w:tcPr>
                <w:p w14:paraId="6CF29BBD">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生产区地面（拌合</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区、水稳站。钢筋加工场、碎石加工场、预制梁场</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）、沉淀水池、</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、雨水收集池底部以及四周</w:t>
                  </w:r>
                </w:p>
              </w:tc>
              <w:tc>
                <w:tcPr>
                  <w:tcW w:w="4010" w:type="dxa"/>
                  <w:tcBorders>
                    <w:tl2br w:val="nil"/>
                    <w:tr2bl w:val="nil"/>
                  </w:tcBorders>
                  <w:noWrap w:val="0"/>
                  <w:vAlign w:val="center"/>
                </w:tcPr>
                <w:p w14:paraId="6E01D33F">
                  <w:pPr>
                    <w:keepNext w:val="0"/>
                    <w:keepLines w:val="0"/>
                    <w:pageBreakBefore w:val="0"/>
                    <w:widowControl w:val="0"/>
                    <w:kinsoku/>
                    <w:wordWrap w:val="0"/>
                    <w:overflowPunct/>
                    <w:topLinePunct w:val="0"/>
                    <w:autoSpaceDE/>
                    <w:autoSpaceDN/>
                    <w:bidi w:val="0"/>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采取抗渗混凝土硬化处理，确保达到等效黏土防渗层 Mb≥1.5m，K≤</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1.0×10</w:t>
                  </w:r>
                  <w:r>
                    <w:rPr>
                      <w:rFonts w:hint="default" w:ascii="Times New Roman" w:hAnsi="Times New Roman" w:eastAsia="宋体" w:cs="Times New Roman"/>
                      <w:color w:val="000000" w:themeColor="text1"/>
                      <w:sz w:val="21"/>
                      <w:szCs w:val="21"/>
                      <w:highlight w:val="none"/>
                      <w:vertAlign w:val="superscript"/>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cm/s</w:t>
                  </w:r>
                </w:p>
              </w:tc>
              <w:tc>
                <w:tcPr>
                  <w:tcW w:w="874" w:type="dxa"/>
                  <w:tcBorders>
                    <w:tl2br w:val="nil"/>
                    <w:tr2bl w:val="nil"/>
                  </w:tcBorders>
                  <w:noWrap w:val="0"/>
                  <w:vAlign w:val="center"/>
                </w:tcPr>
                <w:p w14:paraId="69A052A6">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38AC0F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1197" w:type="dxa"/>
                  <w:tcBorders>
                    <w:tl2br w:val="nil"/>
                    <w:tr2bl w:val="nil"/>
                  </w:tcBorders>
                  <w:noWrap w:val="0"/>
                  <w:vAlign w:val="center"/>
                </w:tcPr>
                <w:p w14:paraId="6EA9C2DB">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简单防渗区</w:t>
                  </w:r>
                </w:p>
              </w:tc>
              <w:tc>
                <w:tcPr>
                  <w:tcW w:w="1967" w:type="dxa"/>
                  <w:tcBorders>
                    <w:tl2br w:val="nil"/>
                    <w:tr2bl w:val="nil"/>
                  </w:tcBorders>
                  <w:noWrap w:val="0"/>
                  <w:vAlign w:val="center"/>
                </w:tcPr>
                <w:p w14:paraId="286F9180">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料仓地面、办公生活区域、厂内道路</w:t>
                  </w:r>
                </w:p>
              </w:tc>
              <w:tc>
                <w:tcPr>
                  <w:tcW w:w="4010" w:type="dxa"/>
                  <w:tcBorders>
                    <w:tl2br w:val="nil"/>
                    <w:tr2bl w:val="nil"/>
                  </w:tcBorders>
                  <w:noWrap w:val="0"/>
                  <w:vAlign w:val="center"/>
                </w:tcPr>
                <w:p w14:paraId="461DFAA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地面硬化处理</w:t>
                  </w:r>
                </w:p>
              </w:tc>
              <w:tc>
                <w:tcPr>
                  <w:tcW w:w="874" w:type="dxa"/>
                  <w:tcBorders>
                    <w:tl2br w:val="nil"/>
                    <w:tr2bl w:val="nil"/>
                  </w:tcBorders>
                  <w:noWrap w:val="0"/>
                  <w:vAlign w:val="center"/>
                </w:tcPr>
                <w:p w14:paraId="77AC8C59">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31E3B6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40" w:hRule="atLeast"/>
              </w:trPr>
              <w:tc>
                <w:tcPr>
                  <w:tcW w:w="8048" w:type="dxa"/>
                  <w:gridSpan w:val="4"/>
                  <w:tcBorders>
                    <w:tl2br w:val="nil"/>
                    <w:tr2bl w:val="nil"/>
                  </w:tcBorders>
                  <w:noWrap w:val="0"/>
                  <w:vAlign w:val="center"/>
                </w:tcPr>
                <w:p w14:paraId="7F031E2E">
                  <w:pPr>
                    <w:pStyle w:val="14"/>
                    <w:keepNext w:val="0"/>
                    <w:keepLines w:val="0"/>
                    <w:pageBreakBefore w:val="0"/>
                    <w:widowControl w:val="0"/>
                    <w:pBdr>
                      <w:top w:val="none" w:color="auto" w:sz="0" w:space="0"/>
                      <w:left w:val="none" w:color="auto" w:sz="0" w:space="0"/>
                      <w:bottom w:val="none" w:color="auto" w:sz="0" w:space="0"/>
                      <w:right w:val="none" w:color="auto" w:sz="0" w:space="0"/>
                    </w:pBdr>
                    <w:kinsoku/>
                    <w:wordWrap w:val="0"/>
                    <w:overflowPunct/>
                    <w:topLinePunct w:val="0"/>
                    <w:autoSpaceDE/>
                    <w:autoSpaceDN/>
                    <w:bidi w:val="0"/>
                    <w:adjustRightInd w:val="0"/>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注：各防渗分区的防渗结构，应由专业设计单位根据相关要求进行设计，但不应低于环评提出的防渗级别和要求。</w:t>
                  </w:r>
                </w:p>
              </w:tc>
            </w:tr>
          </w:tbl>
          <w:p w14:paraId="7E8DA51D">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综上所述，通过采取本次评价提出的分区防渗措施后，项目营运期对区域地下水环境和土壤环境影响较小。</w:t>
            </w:r>
          </w:p>
          <w:p w14:paraId="290F6DCA">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六</w:t>
            </w:r>
            <w:r>
              <w:rPr>
                <w:rFonts w:hint="eastAsia"/>
                <w:b/>
                <w:bCs/>
                <w:color w:val="000000" w:themeColor="text1"/>
                <w:sz w:val="24"/>
                <w:szCs w:val="24"/>
                <w:highlight w:val="none"/>
                <w14:textFill>
                  <w14:solidFill>
                    <w14:schemeClr w14:val="tx1"/>
                  </w14:solidFill>
                </w14:textFill>
              </w:rPr>
              <w:t>、环境风险分析</w:t>
            </w:r>
          </w:p>
          <w:p w14:paraId="080735D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环境风险是指突发性事故对环境（或健康）的危害程度。建设项目环境风险评价主要是对建设项目建设和运营期间发生的可预测突发性事件或事故（一般不包括人为破坏及自然灾害）引起有毒有害、易燃易爆等物质泄漏，或突发事件产生的新的有毒有害物质，所造成的对人身安全与环境的影响和损害，进行评估，提出防范、应急与减缓措施，以使建设项目事故率、损失和环境影响达到可接受水平。</w:t>
            </w:r>
          </w:p>
          <w:p w14:paraId="1CE415E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1、风险调查</w:t>
            </w:r>
          </w:p>
          <w:p w14:paraId="47C5BFB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①废水事故排放：由于本项目废水沉淀池破损或垮塌导致废水溢流直接外排，进入周边地表水体，造成污染事故。</w:t>
            </w:r>
          </w:p>
          <w:p w14:paraId="0DB832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②环保设施等故障而造成的粉尘超标排放。</w:t>
            </w:r>
          </w:p>
          <w:p w14:paraId="4E40DB2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w:t>
            </w:r>
            <w:r>
              <w:rPr>
                <w:rFonts w:hint="eastAsia"/>
                <w:color w:val="000000" w:themeColor="text1"/>
                <w:sz w:val="24"/>
                <w:szCs w:val="24"/>
                <w:highlight w:val="none"/>
                <w:lang w:eastAsia="zh-CN"/>
                <w14:textFill>
                  <w14:solidFill>
                    <w14:schemeClr w14:val="tx1"/>
                  </w14:solidFill>
                </w14:textFill>
              </w:rPr>
              <w:t>润滑油、废润滑油及外加剂</w:t>
            </w:r>
            <w:r>
              <w:rPr>
                <w:rFonts w:hint="eastAsia"/>
                <w:color w:val="000000" w:themeColor="text1"/>
                <w:sz w:val="24"/>
                <w:szCs w:val="24"/>
                <w:highlight w:val="none"/>
                <w14:textFill>
                  <w14:solidFill>
                    <w14:schemeClr w14:val="tx1"/>
                  </w14:solidFill>
                </w14:textFill>
              </w:rPr>
              <w:t>泄露，造成土壤、地下水等污染。</w:t>
            </w:r>
          </w:p>
          <w:p w14:paraId="02BBD9A5">
            <w:pPr>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w:t>
            </w:r>
            <w:r>
              <w:rPr>
                <w:rFonts w:hint="eastAsia" w:ascii="Times New Roman" w:hAnsi="Times New Roman" w:eastAsia="宋体"/>
                <w:b/>
                <w:bCs/>
                <w:color w:val="000000" w:themeColor="text1"/>
                <w:szCs w:val="21"/>
                <w:highlight w:val="none"/>
                <w14:textFill>
                  <w14:solidFill>
                    <w14:schemeClr w14:val="tx1"/>
                  </w14:solidFill>
                </w14:textFill>
              </w:rPr>
              <w:t>4</w:t>
            </w:r>
            <w:r>
              <w:rPr>
                <w:rFonts w:ascii="Times New Roman" w:hAnsi="Times New Roman" w:eastAsia="宋体"/>
                <w:b/>
                <w:bCs/>
                <w:color w:val="000000" w:themeColor="text1"/>
                <w:szCs w:val="21"/>
                <w:highlight w:val="none"/>
                <w14:textFill>
                  <w14:solidFill>
                    <w14:schemeClr w14:val="tx1"/>
                  </w14:solidFill>
                </w14:textFill>
              </w:rPr>
              <w:t>-1</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9</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hint="eastAsia" w:ascii="Times New Roman" w:hAnsi="Times New Roman" w:eastAsia="宋体"/>
                <w:b/>
                <w:bCs/>
                <w:color w:val="000000" w:themeColor="text1"/>
                <w:szCs w:val="21"/>
                <w:highlight w:val="none"/>
                <w14:textFill>
                  <w14:solidFill>
                    <w14:schemeClr w14:val="tx1"/>
                  </w14:solidFill>
                </w14:textFill>
              </w:rPr>
              <w:t>生产设施危险识别表</w:t>
            </w:r>
          </w:p>
          <w:tbl>
            <w:tblPr>
              <w:tblStyle w:val="20"/>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24"/>
              <w:gridCol w:w="1162"/>
              <w:gridCol w:w="956"/>
              <w:gridCol w:w="1294"/>
              <w:gridCol w:w="1313"/>
              <w:gridCol w:w="1415"/>
              <w:gridCol w:w="1272"/>
            </w:tblGrid>
            <w:tr w14:paraId="3DC8F5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176366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序号</w:t>
                  </w:r>
                </w:p>
              </w:tc>
              <w:tc>
                <w:tcPr>
                  <w:tcW w:w="732" w:type="pct"/>
                  <w:tcBorders>
                    <w:tl2br w:val="nil"/>
                    <w:tr2bl w:val="nil"/>
                  </w:tcBorders>
                  <w:vAlign w:val="center"/>
                </w:tcPr>
                <w:p w14:paraId="15BBD9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危险单元</w:t>
                  </w:r>
                </w:p>
              </w:tc>
              <w:tc>
                <w:tcPr>
                  <w:tcW w:w="602" w:type="pct"/>
                  <w:tcBorders>
                    <w:tl2br w:val="nil"/>
                    <w:tr2bl w:val="nil"/>
                  </w:tcBorders>
                  <w:vAlign w:val="center"/>
                </w:tcPr>
                <w:p w14:paraId="11E673E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风险源</w:t>
                  </w:r>
                </w:p>
              </w:tc>
              <w:tc>
                <w:tcPr>
                  <w:tcW w:w="815" w:type="pct"/>
                  <w:tcBorders>
                    <w:tl2br w:val="nil"/>
                    <w:tr2bl w:val="nil"/>
                  </w:tcBorders>
                  <w:vAlign w:val="center"/>
                </w:tcPr>
                <w:p w14:paraId="37A8E7A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主要风险物质</w:t>
                  </w:r>
                </w:p>
              </w:tc>
              <w:tc>
                <w:tcPr>
                  <w:tcW w:w="827" w:type="pct"/>
                  <w:tcBorders>
                    <w:tl2br w:val="nil"/>
                    <w:tr2bl w:val="nil"/>
                  </w:tcBorders>
                  <w:vAlign w:val="center"/>
                </w:tcPr>
                <w:p w14:paraId="297B1D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环境风险类型</w:t>
                  </w:r>
                </w:p>
              </w:tc>
              <w:tc>
                <w:tcPr>
                  <w:tcW w:w="891" w:type="pct"/>
                  <w:tcBorders>
                    <w:tl2br w:val="nil"/>
                    <w:tr2bl w:val="nil"/>
                  </w:tcBorders>
                  <w:vAlign w:val="center"/>
                </w:tcPr>
                <w:p w14:paraId="7F6FA7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环境影响途径</w:t>
                  </w:r>
                </w:p>
              </w:tc>
              <w:tc>
                <w:tcPr>
                  <w:tcW w:w="801" w:type="pct"/>
                  <w:tcBorders>
                    <w:tl2br w:val="nil"/>
                    <w:tr2bl w:val="nil"/>
                  </w:tcBorders>
                  <w:vAlign w:val="center"/>
                </w:tcPr>
                <w:p w14:paraId="49E424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hint="eastAsia" w:ascii="Times New Roman" w:hAnsi="Times New Roman" w:eastAsia="宋体"/>
                      <w:b/>
                      <w:bCs/>
                      <w:color w:val="000000" w:themeColor="text1"/>
                      <w:szCs w:val="21"/>
                      <w:highlight w:val="none"/>
                      <w14:textFill>
                        <w14:solidFill>
                          <w14:schemeClr w14:val="tx1"/>
                        </w14:solidFill>
                      </w14:textFill>
                    </w:rPr>
                    <w:t>风险物质储量</w:t>
                  </w:r>
                </w:p>
              </w:tc>
            </w:tr>
            <w:tr w14:paraId="07FB68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2B6E76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1</w:t>
                  </w:r>
                </w:p>
              </w:tc>
              <w:tc>
                <w:tcPr>
                  <w:tcW w:w="732" w:type="pct"/>
                  <w:tcBorders>
                    <w:tl2br w:val="nil"/>
                    <w:tr2bl w:val="nil"/>
                  </w:tcBorders>
                  <w:vAlign w:val="center"/>
                </w:tcPr>
                <w:p w14:paraId="7A2DB3B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沉淀池/废水处理设施</w:t>
                  </w:r>
                </w:p>
              </w:tc>
              <w:tc>
                <w:tcPr>
                  <w:tcW w:w="602" w:type="pct"/>
                  <w:tcBorders>
                    <w:tl2br w:val="nil"/>
                    <w:tr2bl w:val="nil"/>
                  </w:tcBorders>
                  <w:vAlign w:val="center"/>
                </w:tcPr>
                <w:p w14:paraId="5D7CFF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废水</w:t>
                  </w:r>
                </w:p>
              </w:tc>
              <w:tc>
                <w:tcPr>
                  <w:tcW w:w="815" w:type="pct"/>
                  <w:tcBorders>
                    <w:tl2br w:val="nil"/>
                    <w:tr2bl w:val="nil"/>
                  </w:tcBorders>
                  <w:vAlign w:val="center"/>
                </w:tcPr>
                <w:p w14:paraId="20CBCE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SS</w:t>
                  </w:r>
                </w:p>
              </w:tc>
              <w:tc>
                <w:tcPr>
                  <w:tcW w:w="827" w:type="pct"/>
                  <w:tcBorders>
                    <w:tl2br w:val="nil"/>
                    <w:tr2bl w:val="nil"/>
                  </w:tcBorders>
                  <w:vAlign w:val="center"/>
                </w:tcPr>
                <w:p w14:paraId="5D64E1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超标排放</w:t>
                  </w:r>
                </w:p>
              </w:tc>
              <w:tc>
                <w:tcPr>
                  <w:tcW w:w="891" w:type="pct"/>
                  <w:tcBorders>
                    <w:tl2br w:val="nil"/>
                    <w:tr2bl w:val="nil"/>
                  </w:tcBorders>
                  <w:vAlign w:val="center"/>
                </w:tcPr>
                <w:p w14:paraId="4AB64C5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破损、坍塌引起废水超标排放</w:t>
                  </w:r>
                </w:p>
              </w:tc>
              <w:tc>
                <w:tcPr>
                  <w:tcW w:w="801" w:type="pct"/>
                  <w:tcBorders>
                    <w:tl2br w:val="nil"/>
                    <w:tr2bl w:val="nil"/>
                  </w:tcBorders>
                  <w:vAlign w:val="center"/>
                </w:tcPr>
                <w:p w14:paraId="2E7BDED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005985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09DC33B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2</w:t>
                  </w:r>
                </w:p>
              </w:tc>
              <w:tc>
                <w:tcPr>
                  <w:tcW w:w="732" w:type="pct"/>
                  <w:tcBorders>
                    <w:tl2br w:val="nil"/>
                    <w:tr2bl w:val="nil"/>
                  </w:tcBorders>
                  <w:vAlign w:val="center"/>
                </w:tcPr>
                <w:p w14:paraId="71F88C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筒仓除尘器</w:t>
                  </w:r>
                </w:p>
              </w:tc>
              <w:tc>
                <w:tcPr>
                  <w:tcW w:w="602" w:type="pct"/>
                  <w:vMerge w:val="restart"/>
                  <w:tcBorders>
                    <w:tl2br w:val="nil"/>
                    <w:tr2bl w:val="nil"/>
                  </w:tcBorders>
                  <w:vAlign w:val="center"/>
                </w:tcPr>
                <w:p w14:paraId="220599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粉尘</w:t>
                  </w:r>
                </w:p>
              </w:tc>
              <w:tc>
                <w:tcPr>
                  <w:tcW w:w="815" w:type="pct"/>
                  <w:vMerge w:val="restart"/>
                  <w:tcBorders>
                    <w:tl2br w:val="nil"/>
                    <w:tr2bl w:val="nil"/>
                  </w:tcBorders>
                  <w:vAlign w:val="center"/>
                </w:tcPr>
                <w:p w14:paraId="24850BC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颗粒物</w:t>
                  </w:r>
                </w:p>
              </w:tc>
              <w:tc>
                <w:tcPr>
                  <w:tcW w:w="827" w:type="pct"/>
                  <w:vMerge w:val="restart"/>
                  <w:tcBorders>
                    <w:tl2br w:val="nil"/>
                    <w:tr2bl w:val="nil"/>
                  </w:tcBorders>
                  <w:vAlign w:val="center"/>
                </w:tcPr>
                <w:p w14:paraId="3A0A289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超标排放</w:t>
                  </w:r>
                </w:p>
              </w:tc>
              <w:tc>
                <w:tcPr>
                  <w:tcW w:w="891" w:type="pct"/>
                  <w:vMerge w:val="restart"/>
                  <w:tcBorders>
                    <w:tl2br w:val="nil"/>
                    <w:tr2bl w:val="nil"/>
                  </w:tcBorders>
                  <w:vAlign w:val="center"/>
                </w:tcPr>
                <w:p w14:paraId="1A38C60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废气处理设施故障，废气超标排放</w:t>
                  </w:r>
                </w:p>
              </w:tc>
              <w:tc>
                <w:tcPr>
                  <w:tcW w:w="801" w:type="pct"/>
                  <w:tcBorders>
                    <w:tl2br w:val="nil"/>
                    <w:tr2bl w:val="nil"/>
                  </w:tcBorders>
                  <w:vAlign w:val="center"/>
                </w:tcPr>
                <w:p w14:paraId="1D8363B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625BD2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tcBorders>
                    <w:tl2br w:val="nil"/>
                    <w:tr2bl w:val="nil"/>
                  </w:tcBorders>
                  <w:vAlign w:val="center"/>
                </w:tcPr>
                <w:p w14:paraId="183D972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3</w:t>
                  </w:r>
                </w:p>
              </w:tc>
              <w:tc>
                <w:tcPr>
                  <w:tcW w:w="732" w:type="pct"/>
                  <w:tcBorders>
                    <w:tl2br w:val="nil"/>
                    <w:tr2bl w:val="nil"/>
                  </w:tcBorders>
                  <w:vAlign w:val="center"/>
                </w:tcPr>
                <w:p w14:paraId="7AB2926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布袋除尘器</w:t>
                  </w:r>
                </w:p>
              </w:tc>
              <w:tc>
                <w:tcPr>
                  <w:tcW w:w="602" w:type="pct"/>
                  <w:vMerge w:val="continue"/>
                  <w:tcBorders>
                    <w:tl2br w:val="nil"/>
                    <w:tr2bl w:val="nil"/>
                  </w:tcBorders>
                  <w:vAlign w:val="center"/>
                </w:tcPr>
                <w:p w14:paraId="4C9D9F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15" w:type="pct"/>
                  <w:vMerge w:val="continue"/>
                  <w:tcBorders>
                    <w:tl2br w:val="nil"/>
                    <w:tr2bl w:val="nil"/>
                  </w:tcBorders>
                  <w:vAlign w:val="center"/>
                </w:tcPr>
                <w:p w14:paraId="1179335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27" w:type="pct"/>
                  <w:vMerge w:val="continue"/>
                  <w:tcBorders>
                    <w:tl2br w:val="nil"/>
                    <w:tr2bl w:val="nil"/>
                  </w:tcBorders>
                  <w:vAlign w:val="center"/>
                </w:tcPr>
                <w:p w14:paraId="490205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91" w:type="pct"/>
                  <w:vMerge w:val="continue"/>
                  <w:tcBorders>
                    <w:tl2br w:val="nil"/>
                    <w:tr2bl w:val="nil"/>
                  </w:tcBorders>
                  <w:vAlign w:val="center"/>
                </w:tcPr>
                <w:p w14:paraId="4B5F514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801" w:type="pct"/>
                  <w:tcBorders>
                    <w:tl2br w:val="nil"/>
                    <w:tr2bl w:val="nil"/>
                  </w:tcBorders>
                  <w:vAlign w:val="center"/>
                </w:tcPr>
                <w:p w14:paraId="78AB5AA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w:t>
                  </w:r>
                </w:p>
              </w:tc>
            </w:tr>
            <w:tr w14:paraId="79C8E0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vMerge w:val="restart"/>
                  <w:tcBorders>
                    <w:tl2br w:val="nil"/>
                    <w:tr2bl w:val="nil"/>
                  </w:tcBorders>
                  <w:vAlign w:val="center"/>
                </w:tcPr>
                <w:p w14:paraId="6584BB2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4</w:t>
                  </w:r>
                </w:p>
              </w:tc>
              <w:tc>
                <w:tcPr>
                  <w:tcW w:w="732" w:type="pct"/>
                  <w:tcBorders>
                    <w:tl2br w:val="nil"/>
                    <w:tr2bl w:val="nil"/>
                  </w:tcBorders>
                  <w:vAlign w:val="center"/>
                </w:tcPr>
                <w:p w14:paraId="2A4BED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危废暂存间</w:t>
                  </w:r>
                </w:p>
              </w:tc>
              <w:tc>
                <w:tcPr>
                  <w:tcW w:w="602" w:type="pct"/>
                  <w:tcBorders>
                    <w:tl2br w:val="nil"/>
                    <w:tr2bl w:val="nil"/>
                  </w:tcBorders>
                  <w:vAlign w:val="center"/>
                </w:tcPr>
                <w:p w14:paraId="1C81C2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危险废物</w:t>
                  </w:r>
                </w:p>
              </w:tc>
              <w:tc>
                <w:tcPr>
                  <w:tcW w:w="815" w:type="pct"/>
                  <w:tcBorders>
                    <w:tl2br w:val="nil"/>
                    <w:tr2bl w:val="nil"/>
                  </w:tcBorders>
                  <w:vAlign w:val="center"/>
                </w:tcPr>
                <w:p w14:paraId="3D7ADB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油类物质</w:t>
                  </w:r>
                </w:p>
              </w:tc>
              <w:tc>
                <w:tcPr>
                  <w:tcW w:w="827" w:type="pct"/>
                  <w:tcBorders>
                    <w:tl2br w:val="nil"/>
                    <w:tr2bl w:val="nil"/>
                  </w:tcBorders>
                  <w:vAlign w:val="center"/>
                </w:tcPr>
                <w:p w14:paraId="242C93A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有毒</w:t>
                  </w:r>
                </w:p>
              </w:tc>
              <w:tc>
                <w:tcPr>
                  <w:tcW w:w="891" w:type="pct"/>
                  <w:tcBorders>
                    <w:tl2br w:val="nil"/>
                    <w:tr2bl w:val="nil"/>
                  </w:tcBorders>
                  <w:vAlign w:val="center"/>
                </w:tcPr>
                <w:p w14:paraId="42CC142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管理不当引起火灾、存储不当泄露污染土壤</w:t>
                  </w:r>
                </w:p>
              </w:tc>
              <w:tc>
                <w:tcPr>
                  <w:tcW w:w="801" w:type="pct"/>
                  <w:tcBorders>
                    <w:tl2br w:val="nil"/>
                    <w:tr2bl w:val="nil"/>
                  </w:tcBorders>
                  <w:vAlign w:val="center"/>
                </w:tcPr>
                <w:p w14:paraId="778D4A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0.5t/a</w:t>
                  </w:r>
                </w:p>
              </w:tc>
            </w:tr>
            <w:tr w14:paraId="729038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vMerge w:val="continue"/>
                  <w:tcBorders>
                    <w:tl2br w:val="nil"/>
                    <w:tr2bl w:val="nil"/>
                  </w:tcBorders>
                  <w:vAlign w:val="center"/>
                </w:tcPr>
                <w:p w14:paraId="5BB923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732" w:type="pct"/>
                  <w:vMerge w:val="restart"/>
                  <w:tcBorders>
                    <w:tl2br w:val="nil"/>
                    <w:tr2bl w:val="nil"/>
                  </w:tcBorders>
                  <w:vAlign w:val="center"/>
                </w:tcPr>
                <w:p w14:paraId="096AB3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库房</w:t>
                  </w:r>
                </w:p>
              </w:tc>
              <w:tc>
                <w:tcPr>
                  <w:tcW w:w="602" w:type="pct"/>
                  <w:tcBorders>
                    <w:tl2br w:val="nil"/>
                    <w:tr2bl w:val="nil"/>
                  </w:tcBorders>
                  <w:vAlign w:val="center"/>
                </w:tcPr>
                <w:p w14:paraId="660394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润滑油</w:t>
                  </w:r>
                </w:p>
              </w:tc>
              <w:tc>
                <w:tcPr>
                  <w:tcW w:w="815" w:type="pct"/>
                  <w:tcBorders>
                    <w:tl2br w:val="nil"/>
                    <w:tr2bl w:val="nil"/>
                  </w:tcBorders>
                  <w:vAlign w:val="center"/>
                </w:tcPr>
                <w:p w14:paraId="21D715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油类物质</w:t>
                  </w:r>
                </w:p>
              </w:tc>
              <w:tc>
                <w:tcPr>
                  <w:tcW w:w="827" w:type="pct"/>
                  <w:tcBorders>
                    <w:tl2br w:val="nil"/>
                    <w:tr2bl w:val="nil"/>
                  </w:tcBorders>
                  <w:vAlign w:val="center"/>
                </w:tcPr>
                <w:p w14:paraId="52BE70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有毒</w:t>
                  </w:r>
                </w:p>
              </w:tc>
              <w:tc>
                <w:tcPr>
                  <w:tcW w:w="891" w:type="pct"/>
                  <w:tcBorders>
                    <w:tl2br w:val="nil"/>
                    <w:tr2bl w:val="nil"/>
                  </w:tcBorders>
                  <w:vAlign w:val="center"/>
                </w:tcPr>
                <w:p w14:paraId="3BF55A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管理不当引起火灾、存储不当泄露污染土壤</w:t>
                  </w:r>
                </w:p>
              </w:tc>
              <w:tc>
                <w:tcPr>
                  <w:tcW w:w="801" w:type="pct"/>
                  <w:tcBorders>
                    <w:tl2br w:val="nil"/>
                    <w:tr2bl w:val="nil"/>
                  </w:tcBorders>
                  <w:vAlign w:val="center"/>
                </w:tcPr>
                <w:p w14:paraId="595308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0.5t/a</w:t>
                  </w:r>
                </w:p>
              </w:tc>
            </w:tr>
            <w:tr w14:paraId="568AE8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330" w:type="pct"/>
                  <w:vMerge w:val="continue"/>
                  <w:tcBorders>
                    <w:tl2br w:val="nil"/>
                    <w:tr2bl w:val="nil"/>
                  </w:tcBorders>
                  <w:vAlign w:val="center"/>
                </w:tcPr>
                <w:p w14:paraId="6BAA971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732" w:type="pct"/>
                  <w:vMerge w:val="continue"/>
                  <w:tcBorders>
                    <w:tl2br w:val="nil"/>
                    <w:tr2bl w:val="nil"/>
                  </w:tcBorders>
                  <w:vAlign w:val="center"/>
                </w:tcPr>
                <w:p w14:paraId="32CB3CB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p>
              </w:tc>
              <w:tc>
                <w:tcPr>
                  <w:tcW w:w="602" w:type="pct"/>
                  <w:tcBorders>
                    <w:tl2br w:val="nil"/>
                    <w:tr2bl w:val="nil"/>
                  </w:tcBorders>
                  <w:vAlign w:val="center"/>
                </w:tcPr>
                <w:p w14:paraId="54828E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外加剂</w:t>
                  </w:r>
                </w:p>
              </w:tc>
              <w:tc>
                <w:tcPr>
                  <w:tcW w:w="815" w:type="pct"/>
                  <w:tcBorders>
                    <w:tl2br w:val="nil"/>
                    <w:tr2bl w:val="nil"/>
                  </w:tcBorders>
                  <w:vAlign w:val="center"/>
                </w:tcPr>
                <w:p w14:paraId="4345E7C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萘磺酸盐甲醛缩合物等</w:t>
                  </w:r>
                </w:p>
              </w:tc>
              <w:tc>
                <w:tcPr>
                  <w:tcW w:w="827" w:type="pct"/>
                  <w:tcBorders>
                    <w:tl2br w:val="nil"/>
                    <w:tr2bl w:val="nil"/>
                  </w:tcBorders>
                  <w:vAlign w:val="center"/>
                </w:tcPr>
                <w:p w14:paraId="68CA2F3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w:t>
                  </w:r>
                </w:p>
              </w:tc>
              <w:tc>
                <w:tcPr>
                  <w:tcW w:w="891" w:type="pct"/>
                  <w:tcBorders>
                    <w:tl2br w:val="nil"/>
                    <w:tr2bl w:val="nil"/>
                  </w:tcBorders>
                  <w:vAlign w:val="center"/>
                </w:tcPr>
                <w:p w14:paraId="00636E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管理不当存储不当泄露污染土壤</w:t>
                  </w:r>
                </w:p>
              </w:tc>
              <w:tc>
                <w:tcPr>
                  <w:tcW w:w="801" w:type="pct"/>
                  <w:tcBorders>
                    <w:tl2br w:val="nil"/>
                    <w:tr2bl w:val="nil"/>
                  </w:tcBorders>
                  <w:vAlign w:val="center"/>
                </w:tcPr>
                <w:p w14:paraId="6F59906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olor w:val="000000" w:themeColor="text1"/>
                      <w:szCs w:val="21"/>
                      <w:highlight w:val="none"/>
                      <w:lang w:val="en-US" w:eastAsia="zh-CN"/>
                      <w14:textFill>
                        <w14:solidFill>
                          <w14:schemeClr w14:val="tx1"/>
                        </w14:solidFill>
                      </w14:textFill>
                    </w:rPr>
                  </w:pPr>
                  <w:r>
                    <w:rPr>
                      <w:rFonts w:hint="eastAsia" w:ascii="Times New Roman" w:hAnsi="Times New Roman" w:eastAsia="宋体"/>
                      <w:color w:val="000000" w:themeColor="text1"/>
                      <w:szCs w:val="21"/>
                      <w:highlight w:val="none"/>
                      <w:lang w:val="en-US" w:eastAsia="zh-CN"/>
                      <w14:textFill>
                        <w14:solidFill>
                          <w14:schemeClr w14:val="tx1"/>
                        </w14:solidFill>
                      </w14:textFill>
                    </w:rPr>
                    <w:t>10t</w:t>
                  </w:r>
                </w:p>
              </w:tc>
            </w:tr>
          </w:tbl>
          <w:p w14:paraId="411CA31C">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2、环境风险识别</w:t>
            </w:r>
          </w:p>
          <w:p w14:paraId="5ADC66F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风险识别范围包括生产设施风险识别、生产过程所涉及的物质风险识别、受影响的环境因素识别。</w:t>
            </w:r>
          </w:p>
          <w:p w14:paraId="48FCAD1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物质危险性识别：根据《危险化学品重大危险源辨识》（GB18218-2018），本项目未涉及危险化学品的使用。</w:t>
            </w:r>
          </w:p>
          <w:p w14:paraId="209F206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项目可能存在的环境风险为</w:t>
            </w:r>
            <w:r>
              <w:rPr>
                <w:rFonts w:hint="eastAsia"/>
                <w:color w:val="000000" w:themeColor="text1"/>
                <w:sz w:val="24"/>
                <w:szCs w:val="24"/>
                <w:highlight w:val="none"/>
                <w:lang w:eastAsia="zh-CN"/>
                <w14:textFill>
                  <w14:solidFill>
                    <w14:schemeClr w14:val="tx1"/>
                  </w14:solidFill>
                </w14:textFill>
              </w:rPr>
              <w:t>润滑油、废润滑油及外加剂泄露</w:t>
            </w:r>
            <w:r>
              <w:rPr>
                <w:rFonts w:hint="eastAsia"/>
                <w:color w:val="000000" w:themeColor="text1"/>
                <w:sz w:val="24"/>
                <w:szCs w:val="24"/>
                <w:highlight w:val="none"/>
                <w14:textFill>
                  <w14:solidFill>
                    <w14:schemeClr w14:val="tx1"/>
                  </w14:solidFill>
                </w14:textFill>
              </w:rPr>
              <w:t>、下渗以及沉淀池破损造成废水事故排放、粉料罐除尘器损坏造成废气事故排放等。</w:t>
            </w:r>
          </w:p>
          <w:p w14:paraId="31A5A55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3、风险防范措施</w:t>
            </w:r>
          </w:p>
          <w:p w14:paraId="7F00113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（1）危废储存风险防范措施</w:t>
            </w:r>
          </w:p>
          <w:p w14:paraId="66BB7C0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①设置国家标准要求的危废间标识标牌，并按国家规定标准控制不同单位面积最大贮存限量；环评要求建设单位应结合项目正常生产需求，尽量减少厂内废机油储存量；</w:t>
            </w:r>
          </w:p>
          <w:p w14:paraId="39CA7E8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②危险废物妥善收集，临时堆存时间不得过长，堆存量不得超过规定要求，以防造成渗漏等二次污染或安全事故。按照安全生产规范暂存危废，避免或减轻由安全事故引发的环境风险；</w:t>
            </w:r>
          </w:p>
          <w:p w14:paraId="4308A61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③危废暂存间应做好防渗、漏措施，除地面基础防渗外，还应在房间内设置防渗托盘，并设置空桶作为备用收容设施。</w:t>
            </w:r>
          </w:p>
          <w:p w14:paraId="2DBF66C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④加强日常进出台账；严格管理，操作正确，加强日常检查，正常情况下，可以避免发生溢出和泄漏事故。</w:t>
            </w:r>
          </w:p>
          <w:p w14:paraId="326613A2">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2</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废水泄露防范措施</w:t>
            </w:r>
          </w:p>
          <w:p w14:paraId="08AD71E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①定期巡查沉淀池，若发现破损，应立即补漏、防堵。</w:t>
            </w:r>
          </w:p>
          <w:p w14:paraId="219D956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②人员在工作中严格按照操作规范、规程，降低风险事故发生的概率。</w:t>
            </w:r>
          </w:p>
          <w:p w14:paraId="6F9EF56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③安排专人负责废水处理系统，记录相关废水产生及处理情况。</w:t>
            </w:r>
          </w:p>
          <w:p w14:paraId="52B2CE0D">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3</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14:textFill>
                  <w14:solidFill>
                    <w14:schemeClr w14:val="tx1"/>
                  </w14:solidFill>
                </w14:textFill>
              </w:rPr>
              <w:t>废气风险防范措施</w:t>
            </w:r>
          </w:p>
          <w:p w14:paraId="6377C27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①当粉尘处理装置出现异常应立即检查，停止生产。</w:t>
            </w:r>
          </w:p>
          <w:p w14:paraId="22EF551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②严格控制设备质量，袋式除尘器必须严格把好质量关，并定期检验、检测、保养、维修。</w:t>
            </w:r>
          </w:p>
          <w:p w14:paraId="16D1B60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lang w:eastAsia="zh-CN"/>
                <w14:textFill>
                  <w14:solidFill>
                    <w14:schemeClr w14:val="tx1"/>
                  </w14:solidFill>
                </w14:textFill>
              </w:rPr>
              <w:t>）物料堆存风险防范措施</w:t>
            </w:r>
          </w:p>
          <w:p w14:paraId="1A48F4E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eastAsia="宋体"/>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①</w:t>
            </w:r>
            <w:r>
              <w:rPr>
                <w:rFonts w:hint="eastAsia"/>
                <w:color w:val="000000" w:themeColor="text1"/>
                <w:sz w:val="24"/>
                <w:szCs w:val="24"/>
                <w:highlight w:val="none"/>
                <w14:textFill>
                  <w14:solidFill>
                    <w14:schemeClr w14:val="tx1"/>
                  </w14:solidFill>
                </w14:textFill>
              </w:rPr>
              <w:t>临时堆存时间不得过长，做好防渗、漏措施，除地面基础防渗外，还应在房间内设置防渗托盘，并设置空桶作为备用收容设施。</w:t>
            </w:r>
          </w:p>
          <w:p w14:paraId="191EEF7F">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w:t>
            </w:r>
            <w:r>
              <w:rPr>
                <w:rFonts w:hint="eastAsia"/>
                <w:color w:val="000000" w:themeColor="text1"/>
                <w:sz w:val="24"/>
                <w:szCs w:val="24"/>
                <w:highlight w:val="none"/>
                <w14:textFill>
                  <w14:solidFill>
                    <w14:schemeClr w14:val="tx1"/>
                  </w14:solidFill>
                </w14:textFill>
              </w:rPr>
              <w:t>加强日常进出台账；严格管理，操作正确，加强日常检查，正常情况下，可以避免发生溢出和泄漏事故。</w:t>
            </w:r>
          </w:p>
          <w:p w14:paraId="22D1D3E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0" w:firstLineChars="0"/>
              <w:textAlignment w:val="auto"/>
              <w:rPr>
                <w:rFonts w:hint="eastAsia"/>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七、环境管理</w:t>
            </w:r>
          </w:p>
          <w:p w14:paraId="64A551E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1、环保管理的目的</w:t>
            </w:r>
          </w:p>
          <w:p w14:paraId="1A40FF7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本项目无论建设期或运行期均会对临近环境产生一定的影响，必须通过环境措施来减缓和消除不利的环境影响。为了保证环保措施的切实落实，使项目的社会、经济和环境效益得以协调发展，必须加强环境管理，使项目建设符合国家要求经济建设、社会发展和环境建设的同步规划、同步发展和同步实施的方针。</w:t>
            </w:r>
          </w:p>
          <w:p w14:paraId="730A66D1">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2、环保机构设置及职责</w:t>
            </w:r>
          </w:p>
          <w:p w14:paraId="79DBFC7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为使企业投入的环保设施能正常发挥作用，对其进行科学有效的管理，企业设置一名环保专职人员负责日常环保管理工作，具体职责如下：</w:t>
            </w:r>
          </w:p>
          <w:p w14:paraId="32FFDC0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 xml:space="preserve">①组织制定环保管理、年度实施计划和远期环保规划，并负责监督贯彻执行； </w:t>
            </w:r>
          </w:p>
          <w:p w14:paraId="52BAF854">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②组织宣传贯彻国家环保方针政策、进行员工环保知识教育；</w:t>
            </w:r>
          </w:p>
          <w:p w14:paraId="4367259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③制定出环境污染事故的防范、应急措施；</w:t>
            </w:r>
          </w:p>
          <w:p w14:paraId="7E48B33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④定期对全厂各环保设施运行情况进行全面检查；</w:t>
            </w:r>
          </w:p>
          <w:p w14:paraId="069C624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⑤强化对环保设施运行的监督，加强对环保设施操作人员的技术培训和管理、建立环保设施运行、维护、维修等技术档案，确保环保设施处于正常运行情况，污染物排放连续达标。</w:t>
            </w:r>
          </w:p>
          <w:p w14:paraId="71D1C38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rFonts w:hint="eastAsia"/>
                <w:b/>
                <w:bCs/>
                <w:color w:val="000000" w:themeColor="text1"/>
                <w:sz w:val="24"/>
                <w:szCs w:val="24"/>
                <w:highlight w:val="none"/>
                <w:lang w:eastAsia="zh-CN"/>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3、环境管理要求</w:t>
            </w:r>
          </w:p>
          <w:p w14:paraId="55FC75DB">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①按“三同时”原则，各项环境治理设施须与主体工程同时设计，同时施工、同时投入使用；</w:t>
            </w:r>
          </w:p>
          <w:p w14:paraId="0118335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②建立环保机构并配备相应人员；</w:t>
            </w:r>
          </w:p>
          <w:p w14:paraId="23FEB972">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③建议企业保持厂区道路畅通，及时清扫路面杂物，遇到连续的晴好天气又起风的情况下，对路面可采取酒水方式减少尘量。</w:t>
            </w:r>
          </w:p>
          <w:p w14:paraId="3B2822F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szCs w:val="24"/>
                <w:highlight w:val="none"/>
                <w:lang w:eastAsia="zh-CN"/>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企业环境保护责任人应充分发挥企业赋予的权力，认真履行相应职责，关心并积极听取可能受项目影响的附近居民的反映，定期向当地环保部门汇报项目环境保护工作的情况，同时接受当地环境保护部门的监督和管理。</w:t>
            </w:r>
          </w:p>
          <w:p w14:paraId="6B5BE9B6">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2" w:firstLineChars="200"/>
              <w:textAlignment w:val="auto"/>
              <w:rPr>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lang w:eastAsia="zh-CN"/>
                <w14:textFill>
                  <w14:solidFill>
                    <w14:schemeClr w14:val="tx1"/>
                  </w14:solidFill>
                </w14:textFill>
              </w:rPr>
              <w:t>八</w:t>
            </w:r>
            <w:r>
              <w:rPr>
                <w:rFonts w:hint="eastAsia"/>
                <w:b/>
                <w:bCs/>
                <w:color w:val="000000" w:themeColor="text1"/>
                <w:sz w:val="24"/>
                <w:szCs w:val="24"/>
                <w:highlight w:val="none"/>
                <w14:textFill>
                  <w14:solidFill>
                    <w14:schemeClr w14:val="tx1"/>
                  </w14:solidFill>
                </w14:textFill>
              </w:rPr>
              <w:t>、环保投资</w:t>
            </w:r>
          </w:p>
          <w:p w14:paraId="2276B41D">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本项目总投资</w:t>
            </w:r>
            <w:r>
              <w:rPr>
                <w:rFonts w:hint="eastAsia"/>
                <w:color w:val="000000" w:themeColor="text1"/>
                <w:sz w:val="24"/>
                <w:szCs w:val="24"/>
                <w:highlight w:val="none"/>
                <w:lang w:val="en-US" w:eastAsia="zh-CN"/>
                <w14:textFill>
                  <w14:solidFill>
                    <w14:schemeClr w14:val="tx1"/>
                  </w14:solidFill>
                </w14:textFill>
              </w:rPr>
              <w:t>1350</w:t>
            </w:r>
            <w:r>
              <w:rPr>
                <w:rFonts w:hint="eastAsia"/>
                <w:color w:val="000000" w:themeColor="text1"/>
                <w:sz w:val="24"/>
                <w:szCs w:val="24"/>
                <w:highlight w:val="none"/>
                <w14:textFill>
                  <w14:solidFill>
                    <w14:schemeClr w14:val="tx1"/>
                  </w14:solidFill>
                </w14:textFill>
              </w:rPr>
              <w:t>万元，其中环保设施投资</w:t>
            </w:r>
            <w:r>
              <w:rPr>
                <w:rFonts w:hint="eastAsia"/>
                <w:color w:val="000000" w:themeColor="text1"/>
                <w:sz w:val="24"/>
                <w:szCs w:val="24"/>
                <w:highlight w:val="none"/>
                <w:lang w:val="en-US" w:eastAsia="zh-CN"/>
                <w14:textFill>
                  <w14:solidFill>
                    <w14:schemeClr w14:val="tx1"/>
                  </w14:solidFill>
                </w14:textFill>
              </w:rPr>
              <w:t>110.4</w:t>
            </w:r>
            <w:r>
              <w:rPr>
                <w:rFonts w:hint="eastAsia"/>
                <w:color w:val="000000" w:themeColor="text1"/>
                <w:sz w:val="24"/>
                <w:szCs w:val="24"/>
                <w:highlight w:val="none"/>
                <w14:textFill>
                  <w14:solidFill>
                    <w14:schemeClr w14:val="tx1"/>
                  </w14:solidFill>
                </w14:textFill>
              </w:rPr>
              <w:t>万元，占总投资的</w:t>
            </w:r>
            <w:r>
              <w:rPr>
                <w:rFonts w:hint="eastAsia"/>
                <w:color w:val="000000" w:themeColor="text1"/>
                <w:sz w:val="24"/>
                <w:szCs w:val="24"/>
                <w:highlight w:val="none"/>
                <w:lang w:val="en-US" w:eastAsia="zh-CN"/>
                <w14:textFill>
                  <w14:solidFill>
                    <w14:schemeClr w14:val="tx1"/>
                  </w14:solidFill>
                </w14:textFill>
              </w:rPr>
              <w:t>8.18</w:t>
            </w:r>
            <w:r>
              <w:rPr>
                <w:rFonts w:hint="eastAsia"/>
                <w:color w:val="000000" w:themeColor="text1"/>
                <w:sz w:val="24"/>
                <w:szCs w:val="24"/>
                <w:highlight w:val="none"/>
                <w14:textFill>
                  <w14:solidFill>
                    <w14:schemeClr w14:val="tx1"/>
                  </w14:solidFill>
                </w14:textFill>
              </w:rPr>
              <w:t>%。本项目环保投资及其建设内容见下表。</w:t>
            </w:r>
          </w:p>
          <w:p w14:paraId="40CB016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b/>
                <w:bCs/>
                <w:color w:val="000000" w:themeColor="text1"/>
                <w:szCs w:val="21"/>
                <w:highlight w:val="none"/>
                <w14:textFill>
                  <w14:solidFill>
                    <w14:schemeClr w14:val="tx1"/>
                  </w14:solidFill>
                </w14:textFill>
              </w:rPr>
            </w:pPr>
            <w:r>
              <w:rPr>
                <w:rFonts w:ascii="Times New Roman" w:hAnsi="Times New Roman" w:eastAsia="宋体"/>
                <w:b/>
                <w:bCs/>
                <w:color w:val="000000" w:themeColor="text1"/>
                <w:szCs w:val="21"/>
                <w:highlight w:val="none"/>
                <w14:textFill>
                  <w14:solidFill>
                    <w14:schemeClr w14:val="tx1"/>
                  </w14:solidFill>
                </w14:textFill>
              </w:rPr>
              <w:t>表4-</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20</w:t>
            </w:r>
            <w:r>
              <w:rPr>
                <w:rFonts w:ascii="Times New Roman" w:hAnsi="Times New Roman" w:eastAsia="宋体"/>
                <w:b/>
                <w:bCs/>
                <w:color w:val="000000" w:themeColor="text1"/>
                <w:szCs w:val="21"/>
                <w:highlight w:val="none"/>
                <w14:textFill>
                  <w14:solidFill>
                    <w14:schemeClr w14:val="tx1"/>
                  </w14:solidFill>
                </w14:textFill>
              </w:rPr>
              <w:t xml:space="preserve">   </w:t>
            </w:r>
            <w:r>
              <w:rPr>
                <w:rFonts w:hint="eastAsia" w:ascii="Times New Roman" w:hAnsi="Times New Roman" w:eastAsia="宋体"/>
                <w:b/>
                <w:bCs/>
                <w:color w:val="000000" w:themeColor="text1"/>
                <w:szCs w:val="21"/>
                <w:highlight w:val="none"/>
                <w:lang w:val="en-US" w:eastAsia="zh-CN"/>
                <w14:textFill>
                  <w14:solidFill>
                    <w14:schemeClr w14:val="tx1"/>
                  </w14:solidFill>
                </w14:textFill>
              </w:rPr>
              <w:t xml:space="preserve"> </w:t>
            </w:r>
            <w:r>
              <w:rPr>
                <w:rFonts w:ascii="Times New Roman" w:hAnsi="Times New Roman" w:eastAsia="宋体"/>
                <w:b/>
                <w:bCs/>
                <w:color w:val="000000" w:themeColor="text1"/>
                <w:szCs w:val="21"/>
                <w:highlight w:val="none"/>
                <w14:textFill>
                  <w14:solidFill>
                    <w14:schemeClr w14:val="tx1"/>
                  </w14:solidFill>
                </w14:textFill>
              </w:rPr>
              <w:t>项目环保设施及措施一览表</w:t>
            </w:r>
          </w:p>
          <w:tbl>
            <w:tblPr>
              <w:tblStyle w:val="20"/>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476"/>
              <w:gridCol w:w="496"/>
              <w:gridCol w:w="1556"/>
              <w:gridCol w:w="4409"/>
              <w:gridCol w:w="1002"/>
            </w:tblGrid>
            <w:tr w14:paraId="18C653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tcBorders>
                    <w:tl2br w:val="nil"/>
                    <w:tr2bl w:val="nil"/>
                  </w:tcBorders>
                  <w:shd w:val="clear" w:color="auto" w:fill="auto"/>
                  <w:vAlign w:val="center"/>
                </w:tcPr>
                <w:p w14:paraId="52DD76C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时期</w:t>
                  </w:r>
                </w:p>
              </w:tc>
              <w:tc>
                <w:tcPr>
                  <w:tcW w:w="1292" w:type="pct"/>
                  <w:gridSpan w:val="2"/>
                  <w:tcBorders>
                    <w:tl2br w:val="nil"/>
                    <w:tr2bl w:val="nil"/>
                  </w:tcBorders>
                  <w:shd w:val="clear" w:color="auto" w:fill="auto"/>
                  <w:vAlign w:val="center"/>
                </w:tcPr>
                <w:p w14:paraId="6B2941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项目</w:t>
                  </w:r>
                </w:p>
              </w:tc>
              <w:tc>
                <w:tcPr>
                  <w:tcW w:w="2776" w:type="pct"/>
                  <w:tcBorders>
                    <w:tl2br w:val="nil"/>
                    <w:tr2bl w:val="nil"/>
                  </w:tcBorders>
                  <w:shd w:val="clear" w:color="auto" w:fill="auto"/>
                  <w:vAlign w:val="center"/>
                </w:tcPr>
                <w:p w14:paraId="3005D3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hint="eastAsia" w:ascii="Times New Roman" w:hAnsi="Times New Roman" w:eastAsia="宋体"/>
                      <w:b/>
                      <w:snapToGrid w:val="0"/>
                      <w:color w:val="000000" w:themeColor="text1"/>
                      <w:kern w:val="0"/>
                      <w:szCs w:val="21"/>
                      <w:highlight w:val="none"/>
                      <w14:textFill>
                        <w14:solidFill>
                          <w14:schemeClr w14:val="tx1"/>
                        </w14:solidFill>
                      </w14:textFill>
                    </w:rPr>
                    <w:t>主要治理措施</w:t>
                  </w:r>
                </w:p>
              </w:tc>
              <w:tc>
                <w:tcPr>
                  <w:tcW w:w="631" w:type="pct"/>
                  <w:tcBorders>
                    <w:tl2br w:val="nil"/>
                    <w:tr2bl w:val="nil"/>
                  </w:tcBorders>
                  <w:shd w:val="clear" w:color="auto" w:fill="auto"/>
                  <w:vAlign w:val="center"/>
                </w:tcPr>
                <w:p w14:paraId="09FCCD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投资</w:t>
                  </w:r>
                </w:p>
                <w:p w14:paraId="20C1665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b/>
                      <w:snapToGrid w:val="0"/>
                      <w:color w:val="000000" w:themeColor="text1"/>
                      <w:kern w:val="0"/>
                      <w:szCs w:val="21"/>
                      <w:highlight w:val="none"/>
                      <w14:textFill>
                        <w14:solidFill>
                          <w14:schemeClr w14:val="tx1"/>
                        </w14:solidFill>
                      </w14:textFill>
                    </w:rPr>
                  </w:pPr>
                  <w:r>
                    <w:rPr>
                      <w:rFonts w:ascii="Times New Roman" w:hAnsi="Times New Roman" w:eastAsia="宋体"/>
                      <w:b/>
                      <w:snapToGrid w:val="0"/>
                      <w:color w:val="000000" w:themeColor="text1"/>
                      <w:kern w:val="0"/>
                      <w:szCs w:val="21"/>
                      <w:highlight w:val="none"/>
                      <w14:textFill>
                        <w14:solidFill>
                          <w14:schemeClr w14:val="tx1"/>
                        </w14:solidFill>
                      </w14:textFill>
                    </w:rPr>
                    <w:t>（万元）</w:t>
                  </w:r>
                </w:p>
              </w:tc>
            </w:tr>
            <w:tr w14:paraId="621A44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restart"/>
                  <w:tcBorders>
                    <w:tl2br w:val="nil"/>
                    <w:tr2bl w:val="nil"/>
                  </w:tcBorders>
                  <w:shd w:val="clear" w:color="auto" w:fill="auto"/>
                  <w:vAlign w:val="center"/>
                </w:tcPr>
                <w:p w14:paraId="5F67588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施</w:t>
                  </w:r>
                </w:p>
                <w:p w14:paraId="4EC7C1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工</w:t>
                  </w:r>
                </w:p>
                <w:p w14:paraId="3CDC3D4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期</w:t>
                  </w:r>
                </w:p>
              </w:tc>
              <w:tc>
                <w:tcPr>
                  <w:tcW w:w="1292" w:type="pct"/>
                  <w:gridSpan w:val="2"/>
                  <w:tcBorders>
                    <w:tl2br w:val="nil"/>
                    <w:tr2bl w:val="nil"/>
                  </w:tcBorders>
                  <w:shd w:val="clear" w:color="auto" w:fill="auto"/>
                  <w:vAlign w:val="center"/>
                </w:tcPr>
                <w:p w14:paraId="29B23CD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施工扬尘</w:t>
                  </w:r>
                </w:p>
              </w:tc>
              <w:tc>
                <w:tcPr>
                  <w:tcW w:w="2776" w:type="pct"/>
                  <w:tcBorders>
                    <w:tl2br w:val="nil"/>
                    <w:tr2bl w:val="nil"/>
                  </w:tcBorders>
                  <w:shd w:val="clear" w:color="auto" w:fill="auto"/>
                  <w:vAlign w:val="center"/>
                </w:tcPr>
                <w:p w14:paraId="7F550146">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施工场地周围设置围挡，封闭施工场地，道路洒水等措施</w:t>
                  </w:r>
                </w:p>
              </w:tc>
              <w:tc>
                <w:tcPr>
                  <w:tcW w:w="631" w:type="pct"/>
                  <w:tcBorders>
                    <w:tl2br w:val="nil"/>
                    <w:tr2bl w:val="nil"/>
                  </w:tcBorders>
                  <w:shd w:val="clear" w:color="auto" w:fill="auto"/>
                  <w:vAlign w:val="center"/>
                </w:tcPr>
                <w:p w14:paraId="4F4AFF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1.0</w:t>
                  </w:r>
                </w:p>
              </w:tc>
            </w:tr>
            <w:tr w14:paraId="306875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A591C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1292" w:type="pct"/>
                  <w:gridSpan w:val="2"/>
                  <w:tcBorders>
                    <w:tl2br w:val="nil"/>
                    <w:tr2bl w:val="nil"/>
                  </w:tcBorders>
                  <w:shd w:val="clear" w:color="auto" w:fill="auto"/>
                  <w:vAlign w:val="center"/>
                </w:tcPr>
                <w:p w14:paraId="6612EC6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生活污水</w:t>
                  </w:r>
                </w:p>
              </w:tc>
              <w:tc>
                <w:tcPr>
                  <w:tcW w:w="2776" w:type="pct"/>
                  <w:tcBorders>
                    <w:tl2br w:val="nil"/>
                    <w:tr2bl w:val="nil"/>
                  </w:tcBorders>
                  <w:shd w:val="clear" w:color="auto" w:fill="auto"/>
                  <w:vAlign w:val="center"/>
                </w:tcPr>
                <w:p w14:paraId="017120C5">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依托</w:t>
                  </w:r>
                  <w:r>
                    <w:rPr>
                      <w:rFonts w:hint="eastAsia" w:ascii="Times New Roman" w:hAnsi="Times New Roman" w:eastAsia="宋体"/>
                      <w:color w:val="000000" w:themeColor="text1"/>
                      <w:szCs w:val="21"/>
                      <w:highlight w:val="none"/>
                      <w:lang w:eastAsia="zh-CN"/>
                      <w14:textFill>
                        <w14:solidFill>
                          <w14:schemeClr w14:val="tx1"/>
                        </w14:solidFill>
                      </w14:textFill>
                    </w:rPr>
                    <w:t>租赁民房已建污水处理设施进行</w:t>
                  </w:r>
                  <w:r>
                    <w:rPr>
                      <w:rFonts w:hint="eastAsia" w:ascii="Times New Roman" w:hAnsi="Times New Roman" w:eastAsia="宋体"/>
                      <w:color w:val="000000" w:themeColor="text1"/>
                      <w:szCs w:val="21"/>
                      <w:highlight w:val="none"/>
                      <w14:textFill>
                        <w14:solidFill>
                          <w14:schemeClr w14:val="tx1"/>
                        </w14:solidFill>
                      </w14:textFill>
                    </w:rPr>
                    <w:t>处理</w:t>
                  </w:r>
                </w:p>
              </w:tc>
              <w:tc>
                <w:tcPr>
                  <w:tcW w:w="631" w:type="pct"/>
                  <w:tcBorders>
                    <w:tl2br w:val="nil"/>
                    <w:tr2bl w:val="nil"/>
                  </w:tcBorders>
                  <w:shd w:val="clear" w:color="auto" w:fill="auto"/>
                  <w:vAlign w:val="center"/>
                </w:tcPr>
                <w:p w14:paraId="7FCB7CC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w:t>
                  </w:r>
                </w:p>
              </w:tc>
            </w:tr>
            <w:tr w14:paraId="39CD1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58EE9D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1292" w:type="pct"/>
                  <w:gridSpan w:val="2"/>
                  <w:tcBorders>
                    <w:tl2br w:val="nil"/>
                    <w:tr2bl w:val="nil"/>
                  </w:tcBorders>
                  <w:shd w:val="clear" w:color="auto" w:fill="auto"/>
                  <w:vAlign w:val="center"/>
                </w:tcPr>
                <w:p w14:paraId="3A42ACB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施工废水</w:t>
                  </w:r>
                </w:p>
              </w:tc>
              <w:tc>
                <w:tcPr>
                  <w:tcW w:w="2776" w:type="pct"/>
                  <w:tcBorders>
                    <w:tl2br w:val="nil"/>
                    <w:tr2bl w:val="nil"/>
                  </w:tcBorders>
                  <w:shd w:val="clear" w:color="auto" w:fill="auto"/>
                  <w:vAlign w:val="center"/>
                </w:tcPr>
                <w:p w14:paraId="2DC9C92B">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施工废水经隔油沉淀池处理后回用于洒水降尘等</w:t>
                  </w:r>
                </w:p>
              </w:tc>
              <w:tc>
                <w:tcPr>
                  <w:tcW w:w="631" w:type="pct"/>
                  <w:tcBorders>
                    <w:tl2br w:val="nil"/>
                    <w:tr2bl w:val="nil"/>
                  </w:tcBorders>
                  <w:shd w:val="clear" w:color="auto" w:fill="auto"/>
                  <w:vAlign w:val="center"/>
                </w:tcPr>
                <w:p w14:paraId="0B0418C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0.2</w:t>
                  </w:r>
                </w:p>
              </w:tc>
            </w:tr>
            <w:tr w14:paraId="7018D7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413F94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1292" w:type="pct"/>
                  <w:gridSpan w:val="2"/>
                  <w:tcBorders>
                    <w:tl2br w:val="nil"/>
                    <w:tr2bl w:val="nil"/>
                  </w:tcBorders>
                  <w:shd w:val="clear" w:color="auto" w:fill="auto"/>
                  <w:vAlign w:val="center"/>
                </w:tcPr>
                <w:p w14:paraId="4E82DA8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噪声</w:t>
                  </w:r>
                </w:p>
              </w:tc>
              <w:tc>
                <w:tcPr>
                  <w:tcW w:w="2776" w:type="pct"/>
                  <w:tcBorders>
                    <w:tl2br w:val="nil"/>
                    <w:tr2bl w:val="nil"/>
                  </w:tcBorders>
                  <w:shd w:val="clear" w:color="auto" w:fill="auto"/>
                  <w:vAlign w:val="center"/>
                </w:tcPr>
                <w:p w14:paraId="2C8BEC1E">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选用低噪声设备，机械定期保养、维护等</w:t>
                  </w:r>
                </w:p>
              </w:tc>
              <w:tc>
                <w:tcPr>
                  <w:tcW w:w="631" w:type="pct"/>
                  <w:tcBorders>
                    <w:tl2br w:val="nil"/>
                    <w:tr2bl w:val="nil"/>
                  </w:tcBorders>
                  <w:shd w:val="clear" w:color="auto" w:fill="auto"/>
                  <w:vAlign w:val="center"/>
                </w:tcPr>
                <w:p w14:paraId="2D0821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1.0</w:t>
                  </w:r>
                </w:p>
              </w:tc>
            </w:tr>
            <w:tr w14:paraId="5F0A33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135A5B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6157196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固废</w:t>
                  </w:r>
                </w:p>
              </w:tc>
              <w:tc>
                <w:tcPr>
                  <w:tcW w:w="979" w:type="pct"/>
                  <w:tcBorders>
                    <w:tl2br w:val="nil"/>
                    <w:tr2bl w:val="nil"/>
                  </w:tcBorders>
                  <w:shd w:val="clear" w:color="auto" w:fill="auto"/>
                  <w:vAlign w:val="center"/>
                </w:tcPr>
                <w:p w14:paraId="0B3AE69A">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生活垃圾</w:t>
                  </w:r>
                </w:p>
              </w:tc>
              <w:tc>
                <w:tcPr>
                  <w:tcW w:w="2776" w:type="pct"/>
                  <w:tcBorders>
                    <w:tl2br w:val="nil"/>
                    <w:tr2bl w:val="nil"/>
                  </w:tcBorders>
                  <w:shd w:val="clear" w:color="auto" w:fill="auto"/>
                  <w:vAlign w:val="center"/>
                </w:tcPr>
                <w:p w14:paraId="4FFC9E73">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垃圾袋装收集后由城市环卫部门统一清运</w:t>
                  </w:r>
                </w:p>
              </w:tc>
              <w:tc>
                <w:tcPr>
                  <w:tcW w:w="631" w:type="pct"/>
                  <w:tcBorders>
                    <w:tl2br w:val="nil"/>
                    <w:tr2bl w:val="nil"/>
                  </w:tcBorders>
                  <w:shd w:val="clear" w:color="auto" w:fill="auto"/>
                  <w:vAlign w:val="center"/>
                </w:tcPr>
                <w:p w14:paraId="66A2BC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0.</w:t>
                  </w:r>
                  <w:r>
                    <w:rPr>
                      <w:rFonts w:hint="eastAsia" w:ascii="Times New Roman" w:hAnsi="Times New Roman" w:eastAsia="宋体"/>
                      <w:snapToGrid w:val="0"/>
                      <w:color w:val="000000" w:themeColor="text1"/>
                      <w:kern w:val="0"/>
                      <w:szCs w:val="21"/>
                      <w:highlight w:val="none"/>
                      <w14:textFill>
                        <w14:solidFill>
                          <w14:schemeClr w14:val="tx1"/>
                        </w14:solidFill>
                      </w14:textFill>
                    </w:rPr>
                    <w:t>2</w:t>
                  </w:r>
                </w:p>
              </w:tc>
            </w:tr>
            <w:tr w14:paraId="5A1CDD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restart"/>
                  <w:tcBorders>
                    <w:tl2br w:val="nil"/>
                    <w:tr2bl w:val="nil"/>
                  </w:tcBorders>
                  <w:shd w:val="clear" w:color="auto" w:fill="auto"/>
                  <w:vAlign w:val="center"/>
                </w:tcPr>
                <w:p w14:paraId="747562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营</w:t>
                  </w:r>
                </w:p>
                <w:p w14:paraId="01D0F1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运</w:t>
                  </w:r>
                </w:p>
                <w:p w14:paraId="2A0CC40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snapToGrid w:val="0"/>
                      <w:color w:val="000000" w:themeColor="text1"/>
                      <w:kern w:val="0"/>
                      <w:szCs w:val="21"/>
                      <w:highlight w:val="none"/>
                      <w14:textFill>
                        <w14:solidFill>
                          <w14:schemeClr w14:val="tx1"/>
                        </w14:solidFill>
                      </w14:textFill>
                    </w:rPr>
                    <w:t>期</w:t>
                  </w:r>
                </w:p>
              </w:tc>
              <w:tc>
                <w:tcPr>
                  <w:tcW w:w="312" w:type="pct"/>
                  <w:vMerge w:val="restart"/>
                  <w:tcBorders>
                    <w:tl2br w:val="nil"/>
                    <w:tr2bl w:val="nil"/>
                  </w:tcBorders>
                  <w:shd w:val="clear" w:color="auto" w:fill="auto"/>
                  <w:vAlign w:val="center"/>
                </w:tcPr>
                <w:p w14:paraId="6E936BF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废气治理</w:t>
                  </w:r>
                </w:p>
              </w:tc>
              <w:tc>
                <w:tcPr>
                  <w:tcW w:w="979" w:type="pct"/>
                  <w:tcBorders>
                    <w:tl2br w:val="nil"/>
                    <w:tr2bl w:val="nil"/>
                  </w:tcBorders>
                  <w:shd w:val="clear" w:color="auto" w:fill="auto"/>
                  <w:vAlign w:val="center"/>
                </w:tcPr>
                <w:p w14:paraId="28DD15F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原料</w:t>
                  </w:r>
                  <w:r>
                    <w:rPr>
                      <w:rFonts w:hint="eastAsia" w:ascii="Times New Roman" w:hAnsi="Times New Roman" w:eastAsia="宋体"/>
                      <w:color w:val="000000" w:themeColor="text1"/>
                      <w:szCs w:val="21"/>
                      <w:highlight w:val="none"/>
                      <w:lang w:eastAsia="zh-CN" w:bidi="ar"/>
                      <w14:textFill>
                        <w14:solidFill>
                          <w14:schemeClr w14:val="tx1"/>
                        </w14:solidFill>
                      </w14:textFill>
                    </w:rPr>
                    <w:t>装卸、堆存扬尘</w:t>
                  </w:r>
                </w:p>
              </w:tc>
              <w:tc>
                <w:tcPr>
                  <w:tcW w:w="2776" w:type="pct"/>
                  <w:tcBorders>
                    <w:tl2br w:val="nil"/>
                    <w:tr2bl w:val="nil"/>
                  </w:tcBorders>
                  <w:shd w:val="clear" w:color="auto" w:fill="auto"/>
                  <w:vAlign w:val="center"/>
                </w:tcPr>
                <w:p w14:paraId="3B9A16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料仓、配料仓（斗）均采用三面围挡+彩钢顶棚的形式设置，并在顶部设置有喷雾除尘装置（每个料仓设置3个喷雾点）</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+3</w:t>
                  </w:r>
                  <w:r>
                    <w:rPr>
                      <w:rFonts w:hint="eastAsia" w:ascii="Times New Roman" w:hAnsi="Times New Roman" w:eastAsia="宋体"/>
                      <w:color w:val="000000" w:themeColor="text1"/>
                      <w:szCs w:val="21"/>
                      <w:highlight w:val="none"/>
                      <w:lang w:bidi="ar"/>
                      <w14:textFill>
                        <w14:solidFill>
                          <w14:schemeClr w14:val="tx1"/>
                        </w14:solidFill>
                      </w14:textFill>
                    </w:rPr>
                    <w:t>台移动式除尘雾炮机。（</w:t>
                  </w:r>
                  <w:r>
                    <w:rPr>
                      <w:rFonts w:hint="eastAsia" w:ascii="Times New Roman" w:hAnsi="Times New Roman" w:eastAsia="宋体"/>
                      <w:color w:val="000000" w:themeColor="text1"/>
                      <w:szCs w:val="21"/>
                      <w:highlight w:val="none"/>
                      <w:lang w:eastAsia="zh-CN" w:bidi="ar"/>
                      <w14:textFill>
                        <w14:solidFill>
                          <w14:schemeClr w14:val="tx1"/>
                        </w14:solidFill>
                      </w14:textFill>
                    </w:rPr>
                    <w:t>综合</w:t>
                  </w:r>
                  <w:r>
                    <w:rPr>
                      <w:rFonts w:hint="eastAsia" w:ascii="Times New Roman" w:hAnsi="Times New Roman" w:eastAsia="宋体"/>
                      <w:color w:val="000000" w:themeColor="text1"/>
                      <w:szCs w:val="21"/>
                      <w:highlight w:val="none"/>
                      <w:lang w:bidi="ar"/>
                      <w14:textFill>
                        <w14:solidFill>
                          <w14:schemeClr w14:val="tx1"/>
                        </w14:solidFill>
                      </w14:textFill>
                    </w:rPr>
                    <w:t>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99.6056</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631" w:type="pct"/>
                  <w:tcBorders>
                    <w:tl2br w:val="nil"/>
                    <w:tr2bl w:val="nil"/>
                  </w:tcBorders>
                  <w:shd w:val="clear" w:color="auto" w:fill="auto"/>
                  <w:vAlign w:val="center"/>
                </w:tcPr>
                <w:p w14:paraId="296125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13</w:t>
                  </w:r>
                  <w:r>
                    <w:rPr>
                      <w:rFonts w:ascii="Times New Roman" w:hAnsi="Times New Roman" w:eastAsia="宋体"/>
                      <w:snapToGrid w:val="0"/>
                      <w:color w:val="000000" w:themeColor="text1"/>
                      <w:kern w:val="0"/>
                      <w:szCs w:val="21"/>
                      <w:highlight w:val="none"/>
                      <w14:textFill>
                        <w14:solidFill>
                          <w14:schemeClr w14:val="tx1"/>
                        </w14:solidFill>
                      </w14:textFill>
                    </w:rPr>
                    <w:t>.0</w:t>
                  </w:r>
                </w:p>
              </w:tc>
            </w:tr>
            <w:tr w14:paraId="436C69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0D428A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4A3957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F3725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骨料输送</w:t>
                  </w:r>
                </w:p>
              </w:tc>
              <w:tc>
                <w:tcPr>
                  <w:tcW w:w="2776" w:type="pct"/>
                  <w:tcBorders>
                    <w:tl2br w:val="nil"/>
                    <w:tr2bl w:val="nil"/>
                  </w:tcBorders>
                  <w:shd w:val="clear" w:color="auto" w:fill="auto"/>
                  <w:vAlign w:val="center"/>
                </w:tcPr>
                <w:p w14:paraId="5B228BD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密闭的输送廊道，并在皮带输送进料口设置喷淋抑尘装置</w:t>
                  </w:r>
                </w:p>
              </w:tc>
              <w:tc>
                <w:tcPr>
                  <w:tcW w:w="631" w:type="pct"/>
                  <w:tcBorders>
                    <w:tl2br w:val="nil"/>
                    <w:tr2bl w:val="nil"/>
                  </w:tcBorders>
                  <w:shd w:val="clear" w:color="auto" w:fill="auto"/>
                  <w:vAlign w:val="center"/>
                </w:tcPr>
                <w:p w14:paraId="073E8F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1.0</w:t>
                  </w:r>
                </w:p>
              </w:tc>
            </w:tr>
            <w:tr w14:paraId="522F4D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3226FA5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47AA85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5A1511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储料罐呼吸口</w:t>
                  </w:r>
                </w:p>
              </w:tc>
              <w:tc>
                <w:tcPr>
                  <w:tcW w:w="2776" w:type="pct"/>
                  <w:tcBorders>
                    <w:tl2br w:val="nil"/>
                    <w:tr2bl w:val="nil"/>
                  </w:tcBorders>
                  <w:shd w:val="clear" w:color="auto" w:fill="auto"/>
                  <w:vAlign w:val="center"/>
                </w:tcPr>
                <w:p w14:paraId="6CA1DA6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筒仓放空口处安装自动衔接输料口</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w:t>
                  </w:r>
                  <w:r>
                    <w:rPr>
                      <w:rFonts w:hint="eastAsia" w:ascii="Times New Roman" w:hAnsi="Times New Roman" w:eastAsia="宋体"/>
                      <w:color w:val="000000" w:themeColor="text1"/>
                      <w:szCs w:val="21"/>
                      <w:highlight w:val="none"/>
                      <w:lang w:bidi="ar"/>
                      <w14:textFill>
                        <w14:solidFill>
                          <w14:schemeClr w14:val="tx1"/>
                        </w14:solidFill>
                      </w14:textFill>
                    </w:rPr>
                    <w:t>仓顶除尘器（处理效率99.5%）处理后无组织排放</w:t>
                  </w:r>
                </w:p>
              </w:tc>
              <w:tc>
                <w:tcPr>
                  <w:tcW w:w="631" w:type="pct"/>
                  <w:tcBorders>
                    <w:tl2br w:val="nil"/>
                    <w:tr2bl w:val="nil"/>
                  </w:tcBorders>
                  <w:shd w:val="clear" w:color="auto" w:fill="auto"/>
                  <w:vAlign w:val="center"/>
                </w:tcPr>
                <w:p w14:paraId="011E540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25.</w:t>
                  </w:r>
                  <w:r>
                    <w:rPr>
                      <w:rFonts w:hint="eastAsia" w:ascii="Times New Roman" w:hAnsi="Times New Roman" w:eastAsia="宋体"/>
                      <w:snapToGrid w:val="0"/>
                      <w:color w:val="000000" w:themeColor="text1"/>
                      <w:kern w:val="0"/>
                      <w:szCs w:val="21"/>
                      <w:highlight w:val="none"/>
                      <w14:textFill>
                        <w14:solidFill>
                          <w14:schemeClr w14:val="tx1"/>
                        </w14:solidFill>
                      </w14:textFill>
                    </w:rPr>
                    <w:t>0</w:t>
                  </w:r>
                </w:p>
              </w:tc>
            </w:tr>
            <w:tr w14:paraId="791BAA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3DAD69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7102ADE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2927F2E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搅拌</w:t>
                  </w:r>
                  <w:r>
                    <w:rPr>
                      <w:rFonts w:hint="eastAsia" w:ascii="Times New Roman" w:hAnsi="Times New Roman" w:eastAsia="宋体"/>
                      <w:color w:val="000000" w:themeColor="text1"/>
                      <w:szCs w:val="21"/>
                      <w:highlight w:val="none"/>
                      <w:lang w:eastAsia="zh-CN" w:bidi="ar"/>
                      <w14:textFill>
                        <w14:solidFill>
                          <w14:schemeClr w14:val="tx1"/>
                        </w14:solidFill>
                      </w14:textFill>
                    </w:rPr>
                    <w:t>（含投料）粉尘</w:t>
                  </w:r>
                </w:p>
              </w:tc>
              <w:tc>
                <w:tcPr>
                  <w:tcW w:w="2776" w:type="pct"/>
                  <w:tcBorders>
                    <w:tl2br w:val="nil"/>
                    <w:tr2bl w:val="nil"/>
                  </w:tcBorders>
                  <w:shd w:val="clear" w:color="auto" w:fill="auto"/>
                  <w:vAlign w:val="center"/>
                </w:tcPr>
                <w:p w14:paraId="354A38B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ascii="Times New Roman" w:hAnsi="Times New Roman" w:eastAsia="宋体"/>
                      <w:color w:val="000000" w:themeColor="text1"/>
                      <w:szCs w:val="21"/>
                      <w:highlight w:val="none"/>
                      <w:lang w:bidi="ar"/>
                      <w14:textFill>
                        <w14:solidFill>
                          <w14:schemeClr w14:val="tx1"/>
                        </w14:solidFill>
                      </w14:textFill>
                    </w:rPr>
                    <w:t>密闭搅拌机，且位于密闭厂房内，搅拌系统配备一台</w:t>
                  </w:r>
                  <w:r>
                    <w:rPr>
                      <w:rFonts w:hint="eastAsia" w:ascii="Times New Roman" w:hAnsi="Times New Roman" w:eastAsia="宋体"/>
                      <w:color w:val="000000" w:themeColor="text1"/>
                      <w:szCs w:val="21"/>
                      <w:highlight w:val="none"/>
                      <w:lang w:bidi="ar"/>
                      <w14:textFill>
                        <w14:solidFill>
                          <w14:schemeClr w14:val="tx1"/>
                        </w14:solidFill>
                      </w14:textFill>
                    </w:rPr>
                    <w:t>布袋</w:t>
                  </w:r>
                  <w:r>
                    <w:rPr>
                      <w:rFonts w:ascii="Times New Roman" w:hAnsi="Times New Roman" w:eastAsia="宋体"/>
                      <w:color w:val="000000" w:themeColor="text1"/>
                      <w:szCs w:val="21"/>
                      <w:highlight w:val="none"/>
                      <w:lang w:bidi="ar"/>
                      <w14:textFill>
                        <w14:solidFill>
                          <w14:schemeClr w14:val="tx1"/>
                        </w14:solidFill>
                      </w14:textFill>
                    </w:rPr>
                    <w:t>除尘器</w:t>
                  </w:r>
                  <w:r>
                    <w:rPr>
                      <w:rFonts w:hint="eastAsia" w:ascii="Times New Roman" w:hAnsi="Times New Roman" w:eastAsia="宋体"/>
                      <w:color w:val="000000" w:themeColor="text1"/>
                      <w:szCs w:val="21"/>
                      <w:highlight w:val="none"/>
                      <w:lang w:bidi="ar"/>
                      <w14:textFill>
                        <w14:solidFill>
                          <w14:schemeClr w14:val="tx1"/>
                        </w14:solidFill>
                      </w14:textFill>
                    </w:rPr>
                    <w:t>（收集效率100%，除尘效率9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9</w:t>
                  </w:r>
                  <w:r>
                    <w:rPr>
                      <w:rFonts w:hint="eastAsia" w:ascii="Times New Roman" w:hAnsi="Times New Roman" w:eastAsia="宋体"/>
                      <w:color w:val="000000" w:themeColor="text1"/>
                      <w:szCs w:val="21"/>
                      <w:highlight w:val="none"/>
                      <w:lang w:bidi="ar"/>
                      <w14:textFill>
                        <w14:solidFill>
                          <w14:schemeClr w14:val="tx1"/>
                        </w14:solidFill>
                      </w14:textFill>
                    </w:rPr>
                    <w:t>%），同时，在封闭式厂房</w:t>
                  </w:r>
                  <w:r>
                    <w:rPr>
                      <w:rFonts w:hint="eastAsia" w:ascii="Times New Roman" w:hAnsi="Times New Roman" w:eastAsia="宋体"/>
                      <w:color w:val="000000" w:themeColor="text1"/>
                      <w:szCs w:val="21"/>
                      <w:highlight w:val="none"/>
                      <w:lang w:eastAsia="zh-CN" w:bidi="ar"/>
                      <w14:textFill>
                        <w14:solidFill>
                          <w14:schemeClr w14:val="tx1"/>
                        </w14:solidFill>
                      </w14:textFill>
                    </w:rPr>
                    <w:t>内安装</w:t>
                  </w:r>
                  <w:r>
                    <w:rPr>
                      <w:rFonts w:ascii="Times New Roman" w:hAnsi="Times New Roman" w:eastAsia="宋体"/>
                      <w:color w:val="000000" w:themeColor="text1"/>
                      <w:szCs w:val="21"/>
                      <w:highlight w:val="none"/>
                      <w:lang w:bidi="ar"/>
                      <w14:textFill>
                        <w14:solidFill>
                          <w14:schemeClr w14:val="tx1"/>
                        </w14:solidFill>
                      </w14:textFill>
                    </w:rPr>
                    <w:t>喷淋装置</w:t>
                  </w:r>
                  <w:r>
                    <w:rPr>
                      <w:rFonts w:hint="eastAsia" w:ascii="Times New Roman" w:hAnsi="Times New Roman" w:eastAsia="宋体"/>
                      <w:color w:val="000000" w:themeColor="text1"/>
                      <w:szCs w:val="21"/>
                      <w:highlight w:val="none"/>
                      <w:lang w:bidi="ar"/>
                      <w14:textFill>
                        <w14:solidFill>
                          <w14:schemeClr w14:val="tx1"/>
                        </w14:solidFill>
                      </w14:textFill>
                    </w:rPr>
                    <w:t>洒水降尘（除尘效率70%）</w:t>
                  </w:r>
                </w:p>
              </w:tc>
              <w:tc>
                <w:tcPr>
                  <w:tcW w:w="631" w:type="pct"/>
                  <w:tcBorders>
                    <w:tl2br w:val="nil"/>
                    <w:tr2bl w:val="nil"/>
                  </w:tcBorders>
                  <w:shd w:val="clear" w:color="auto" w:fill="auto"/>
                  <w:vAlign w:val="center"/>
                </w:tcPr>
                <w:p w14:paraId="242B47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8</w:t>
                  </w:r>
                  <w:r>
                    <w:rPr>
                      <w:rFonts w:hint="eastAsia" w:ascii="Times New Roman" w:hAnsi="Times New Roman" w:eastAsia="宋体"/>
                      <w:snapToGrid w:val="0"/>
                      <w:color w:val="000000" w:themeColor="text1"/>
                      <w:kern w:val="0"/>
                      <w:szCs w:val="21"/>
                      <w:highlight w:val="none"/>
                      <w14:textFill>
                        <w14:solidFill>
                          <w14:schemeClr w14:val="tx1"/>
                        </w14:solidFill>
                      </w14:textFill>
                    </w:rPr>
                    <w:t>.0</w:t>
                  </w:r>
                </w:p>
              </w:tc>
            </w:tr>
            <w:tr w14:paraId="3D2F6D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0D7DB3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5F59EA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5139749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bidi="ar"/>
                      <w14:textFill>
                        <w14:solidFill>
                          <w14:schemeClr w14:val="tx1"/>
                        </w14:solidFill>
                      </w14:textFill>
                    </w:rPr>
                    <w:t>焊接烟尘</w:t>
                  </w:r>
                </w:p>
              </w:tc>
              <w:tc>
                <w:tcPr>
                  <w:tcW w:w="2776" w:type="pct"/>
                  <w:tcBorders>
                    <w:tl2br w:val="nil"/>
                    <w:tr2bl w:val="nil"/>
                  </w:tcBorders>
                  <w:shd w:val="clear" w:color="auto" w:fill="auto"/>
                  <w:vAlign w:val="center"/>
                </w:tcPr>
                <w:p w14:paraId="472CF94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val="en-US" w:eastAsia="zh-CN" w:bidi="ar"/>
                      <w14:textFill>
                        <w14:solidFill>
                          <w14:schemeClr w14:val="tx1"/>
                        </w14:solidFill>
                      </w14:textFill>
                    </w:rPr>
                    <w:t>设置固定焊接区域，配备2</w:t>
                  </w:r>
                  <w:r>
                    <w:rPr>
                      <w:rFonts w:hint="eastAsia" w:ascii="Times New Roman" w:hAnsi="Times New Roman" w:eastAsia="宋体"/>
                      <w:color w:val="000000" w:themeColor="text1"/>
                      <w:szCs w:val="21"/>
                      <w:highlight w:val="none"/>
                      <w:lang w:bidi="ar"/>
                      <w14:textFill>
                        <w14:solidFill>
                          <w14:schemeClr w14:val="tx1"/>
                        </w14:solidFill>
                      </w14:textFill>
                    </w:rPr>
                    <w:t>台移动式焊烟净化器（收集效率80%，处理效率9</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5</w:t>
                  </w:r>
                  <w:r>
                    <w:rPr>
                      <w:rFonts w:hint="eastAsia" w:ascii="Times New Roman" w:hAnsi="Times New Roman" w:eastAsia="宋体"/>
                      <w:color w:val="000000" w:themeColor="text1"/>
                      <w:szCs w:val="21"/>
                      <w:highlight w:val="none"/>
                      <w:lang w:bidi="ar"/>
                      <w14:textFill>
                        <w14:solidFill>
                          <w14:schemeClr w14:val="tx1"/>
                        </w14:solidFill>
                      </w14:textFill>
                    </w:rPr>
                    <w:t>%）处理后排放</w:t>
                  </w:r>
                </w:p>
              </w:tc>
              <w:tc>
                <w:tcPr>
                  <w:tcW w:w="631" w:type="pct"/>
                  <w:tcBorders>
                    <w:tl2br w:val="nil"/>
                    <w:tr2bl w:val="nil"/>
                  </w:tcBorders>
                  <w:shd w:val="clear" w:color="auto" w:fill="auto"/>
                  <w:vAlign w:val="center"/>
                </w:tcPr>
                <w:p w14:paraId="75BB4A8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3.0</w:t>
                  </w:r>
                </w:p>
              </w:tc>
            </w:tr>
            <w:tr w14:paraId="316754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01E3FC9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0BADABB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AAC022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汽车运输扬尘</w:t>
                  </w:r>
                </w:p>
              </w:tc>
              <w:tc>
                <w:tcPr>
                  <w:tcW w:w="2776" w:type="pct"/>
                  <w:tcBorders>
                    <w:tl2br w:val="nil"/>
                    <w:tr2bl w:val="nil"/>
                  </w:tcBorders>
                  <w:shd w:val="clear" w:color="auto" w:fill="auto"/>
                  <w:vAlign w:val="center"/>
                </w:tcPr>
                <w:p w14:paraId="3C2A19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bidi="ar"/>
                      <w14:textFill>
                        <w14:solidFill>
                          <w14:schemeClr w14:val="tx1"/>
                        </w14:solidFill>
                      </w14:textFill>
                    </w:rPr>
                    <w:t>地面硬化、运</w:t>
                  </w:r>
                  <w:r>
                    <w:rPr>
                      <w:rFonts w:hint="eastAsia" w:ascii="Times New Roman" w:hAnsi="Times New Roman" w:eastAsia="宋体"/>
                      <w:color w:val="000000" w:themeColor="text1"/>
                      <w:szCs w:val="21"/>
                      <w:highlight w:val="none"/>
                      <w:lang w:bidi="ar"/>
                      <w14:textFill>
                        <w14:solidFill>
                          <w14:schemeClr w14:val="tx1"/>
                        </w14:solidFill>
                      </w14:textFill>
                    </w:rPr>
                    <w:t>输车辆采用篷布进行遮蔽处理，控制装载量，禁止裸露、冒尖或超载运输，洒水降尘（除尘效率</w:t>
                  </w:r>
                  <w:r>
                    <w:rPr>
                      <w:rFonts w:hint="eastAsia" w:ascii="Times New Roman" w:hAnsi="Times New Roman" w:eastAsia="宋体"/>
                      <w:color w:val="000000" w:themeColor="text1"/>
                      <w:szCs w:val="21"/>
                      <w:highlight w:val="none"/>
                      <w:lang w:val="en-US" w:eastAsia="zh-CN" w:bidi="ar"/>
                      <w14:textFill>
                        <w14:solidFill>
                          <w14:schemeClr w14:val="tx1"/>
                        </w14:solidFill>
                      </w14:textFill>
                    </w:rPr>
                    <w:t>85</w:t>
                  </w:r>
                  <w:r>
                    <w:rPr>
                      <w:rFonts w:hint="eastAsia" w:ascii="Times New Roman" w:hAnsi="Times New Roman" w:eastAsia="宋体"/>
                      <w:color w:val="000000" w:themeColor="text1"/>
                      <w:szCs w:val="21"/>
                      <w:highlight w:val="none"/>
                      <w:lang w:bidi="ar"/>
                      <w14:textFill>
                        <w14:solidFill>
                          <w14:schemeClr w14:val="tx1"/>
                        </w14:solidFill>
                      </w14:textFill>
                    </w:rPr>
                    <w:t>%）</w:t>
                  </w:r>
                </w:p>
              </w:tc>
              <w:tc>
                <w:tcPr>
                  <w:tcW w:w="631" w:type="pct"/>
                  <w:tcBorders>
                    <w:tl2br w:val="nil"/>
                    <w:tr2bl w:val="nil"/>
                  </w:tcBorders>
                  <w:shd w:val="clear" w:color="auto" w:fill="auto"/>
                  <w:vAlign w:val="center"/>
                </w:tcPr>
                <w:p w14:paraId="44EC13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1.0</w:t>
                  </w:r>
                </w:p>
              </w:tc>
            </w:tr>
            <w:tr w14:paraId="637A6A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4E8418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31287B8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2C6D1D6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食堂油烟</w:t>
                  </w:r>
                </w:p>
              </w:tc>
              <w:tc>
                <w:tcPr>
                  <w:tcW w:w="2776" w:type="pct"/>
                  <w:tcBorders>
                    <w:tl2br w:val="nil"/>
                    <w:tr2bl w:val="nil"/>
                  </w:tcBorders>
                  <w:shd w:val="clear" w:color="auto" w:fill="auto"/>
                  <w:vAlign w:val="center"/>
                </w:tcPr>
                <w:p w14:paraId="146AE9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lang w:bidi="ar"/>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
                      <w14:textFill>
                        <w14:solidFill>
                          <w14:schemeClr w14:val="tx1"/>
                        </w14:solidFill>
                      </w14:textFill>
                    </w:rPr>
                    <w:t>设置3台油烟净化器对油烟进行净化处理，净化效率约为75%，通过排烟管道引至屋顶高空排放</w:t>
                  </w:r>
                </w:p>
              </w:tc>
              <w:tc>
                <w:tcPr>
                  <w:tcW w:w="631" w:type="pct"/>
                  <w:tcBorders>
                    <w:tl2br w:val="nil"/>
                    <w:tr2bl w:val="nil"/>
                  </w:tcBorders>
                  <w:shd w:val="clear" w:color="auto" w:fill="auto"/>
                  <w:vAlign w:val="center"/>
                </w:tcPr>
                <w:p w14:paraId="5958EE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2.0</w:t>
                  </w:r>
                </w:p>
              </w:tc>
            </w:tr>
            <w:tr w14:paraId="07F0FD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5F75EA9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1632A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2053F61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备用发电机废气</w:t>
                  </w:r>
                </w:p>
              </w:tc>
              <w:tc>
                <w:tcPr>
                  <w:tcW w:w="2776" w:type="pct"/>
                  <w:tcBorders>
                    <w:tl2br w:val="nil"/>
                    <w:tr2bl w:val="nil"/>
                  </w:tcBorders>
                  <w:shd w:val="clear" w:color="auto" w:fill="auto"/>
                  <w:vAlign w:val="center"/>
                </w:tcPr>
                <w:p w14:paraId="2A42F9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发电机自带消烟除尘装置后经</w:t>
                  </w:r>
                  <w:r>
                    <w:rPr>
                      <w:rFonts w:hint="eastAsia" w:ascii="Times New Roman" w:hAnsi="Times New Roman" w:eastAsia="宋体"/>
                      <w:color w:val="000000" w:themeColor="text1"/>
                      <w:szCs w:val="21"/>
                      <w:highlight w:val="none"/>
                      <w:lang w:eastAsia="zh-CN"/>
                      <w14:textFill>
                        <w14:solidFill>
                          <w14:schemeClr w14:val="tx1"/>
                        </w14:solidFill>
                      </w14:textFill>
                    </w:rPr>
                    <w:t>专用烟道</w:t>
                  </w:r>
                  <w:r>
                    <w:rPr>
                      <w:rFonts w:hint="eastAsia" w:ascii="Times New Roman" w:hAnsi="Times New Roman" w:eastAsia="宋体"/>
                      <w:color w:val="000000" w:themeColor="text1"/>
                      <w:szCs w:val="21"/>
                      <w:highlight w:val="none"/>
                      <w14:textFill>
                        <w14:solidFill>
                          <w14:schemeClr w14:val="tx1"/>
                        </w14:solidFill>
                      </w14:textFill>
                    </w:rPr>
                    <w:t>排放</w:t>
                  </w:r>
                </w:p>
              </w:tc>
              <w:tc>
                <w:tcPr>
                  <w:tcW w:w="631" w:type="pct"/>
                  <w:tcBorders>
                    <w:tl2br w:val="nil"/>
                    <w:tr2bl w:val="nil"/>
                  </w:tcBorders>
                  <w:shd w:val="clear" w:color="auto" w:fill="auto"/>
                  <w:vAlign w:val="center"/>
                </w:tcPr>
                <w:p w14:paraId="2328E57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0.5</w:t>
                  </w:r>
                </w:p>
              </w:tc>
            </w:tr>
            <w:tr w14:paraId="6A315F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028BC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4E098A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74B3C60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汽车尾气</w:t>
                  </w:r>
                </w:p>
              </w:tc>
              <w:tc>
                <w:tcPr>
                  <w:tcW w:w="2776" w:type="pct"/>
                  <w:tcBorders>
                    <w:tl2br w:val="nil"/>
                    <w:tr2bl w:val="nil"/>
                  </w:tcBorders>
                  <w:shd w:val="clear" w:color="auto" w:fill="auto"/>
                  <w:vAlign w:val="center"/>
                </w:tcPr>
                <w:p w14:paraId="077F00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自然扩散</w:t>
                  </w:r>
                </w:p>
              </w:tc>
              <w:tc>
                <w:tcPr>
                  <w:tcW w:w="631" w:type="pct"/>
                  <w:tcBorders>
                    <w:tl2br w:val="nil"/>
                    <w:tr2bl w:val="nil"/>
                  </w:tcBorders>
                  <w:shd w:val="clear" w:color="auto" w:fill="auto"/>
                  <w:vAlign w:val="center"/>
                </w:tcPr>
                <w:p w14:paraId="4D8C190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w:t>
                  </w:r>
                </w:p>
              </w:tc>
            </w:tr>
            <w:tr w14:paraId="20A5C1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1FDF25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restart"/>
                  <w:tcBorders>
                    <w:tl2br w:val="nil"/>
                    <w:tr2bl w:val="nil"/>
                  </w:tcBorders>
                  <w:shd w:val="clear" w:color="auto" w:fill="auto"/>
                  <w:vAlign w:val="center"/>
                </w:tcPr>
                <w:p w14:paraId="115439E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废水治理</w:t>
                  </w:r>
                </w:p>
              </w:tc>
              <w:tc>
                <w:tcPr>
                  <w:tcW w:w="979" w:type="pct"/>
                  <w:tcBorders>
                    <w:tl2br w:val="nil"/>
                    <w:tr2bl w:val="nil"/>
                  </w:tcBorders>
                  <w:shd w:val="clear" w:color="auto" w:fill="auto"/>
                  <w:vAlign w:val="center"/>
                </w:tcPr>
                <w:p w14:paraId="251C72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生活污水</w:t>
                  </w:r>
                </w:p>
              </w:tc>
              <w:tc>
                <w:tcPr>
                  <w:tcW w:w="2776" w:type="pct"/>
                  <w:tcBorders>
                    <w:tl2br w:val="nil"/>
                    <w:tr2bl w:val="nil"/>
                  </w:tcBorders>
                  <w:shd w:val="clear" w:color="auto" w:fill="auto"/>
                  <w:vAlign w:val="center"/>
                </w:tcPr>
                <w:p w14:paraId="6534539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化粪池</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highlight w:val="none"/>
                      <w:lang w:val="en-US" w:eastAsia="zh-CN"/>
                      <w14:textFill>
                        <w14:solidFill>
                          <w14:schemeClr w14:val="tx1"/>
                        </w14:solidFill>
                      </w14:textFill>
                    </w:rPr>
                    <w:t>0</w:t>
                  </w:r>
                  <w:r>
                    <w:rPr>
                      <w:rFonts w:hint="default" w:ascii="Times New Roman" w:hAnsi="Times New Roman" w:eastAsia="宋体" w:cs="Times New Roman"/>
                      <w:color w:val="000000" w:themeColor="text1"/>
                      <w:highlight w:val="none"/>
                      <w:lang w:eastAsia="zh-CN"/>
                      <w14:textFill>
                        <w14:solidFill>
                          <w14:schemeClr w14:val="tx1"/>
                        </w14:solidFill>
                      </w14:textFill>
                    </w:rPr>
                    <w:t>m</w:t>
                  </w:r>
                  <w:r>
                    <w:rPr>
                      <w:rFonts w:hint="default" w:ascii="Times New Roman" w:hAnsi="Times New Roman" w:eastAsia="宋体" w:cs="Times New Roman"/>
                      <w:color w:val="000000" w:themeColor="text1"/>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14:textFill>
                        <w14:solidFill>
                          <w14:schemeClr w14:val="tx1"/>
                        </w14:solidFill>
                      </w14:textFill>
                    </w:rPr>
                    <w:t>处理</w:t>
                  </w:r>
                  <w:r>
                    <w:rPr>
                      <w:rFonts w:hint="default" w:ascii="Times New Roman" w:hAnsi="Times New Roman" w:eastAsia="宋体" w:cs="Times New Roman"/>
                      <w:color w:val="000000" w:themeColor="text1"/>
                      <w:highlight w:val="none"/>
                      <w:lang w:eastAsia="zh-CN"/>
                      <w14:textFill>
                        <w14:solidFill>
                          <w14:schemeClr w14:val="tx1"/>
                        </w14:solidFill>
                      </w14:textFill>
                    </w:rPr>
                    <w:t>后进入宝梵污水处理厂</w:t>
                  </w:r>
                </w:p>
              </w:tc>
              <w:tc>
                <w:tcPr>
                  <w:tcW w:w="631" w:type="pct"/>
                  <w:tcBorders>
                    <w:tl2br w:val="nil"/>
                    <w:tr2bl w:val="nil"/>
                  </w:tcBorders>
                  <w:shd w:val="clear" w:color="auto" w:fill="auto"/>
                  <w:vAlign w:val="center"/>
                </w:tcPr>
                <w:p w14:paraId="3D25A7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5</w:t>
                  </w:r>
                  <w:r>
                    <w:rPr>
                      <w:rFonts w:hint="eastAsia" w:ascii="Times New Roman" w:hAnsi="Times New Roman" w:eastAsia="宋体"/>
                      <w:snapToGrid w:val="0"/>
                      <w:color w:val="000000" w:themeColor="text1"/>
                      <w:kern w:val="0"/>
                      <w:szCs w:val="21"/>
                      <w:highlight w:val="none"/>
                      <w14:textFill>
                        <w14:solidFill>
                          <w14:schemeClr w14:val="tx1"/>
                        </w14:solidFill>
                      </w14:textFill>
                    </w:rPr>
                    <w:t>.0</w:t>
                  </w:r>
                </w:p>
              </w:tc>
            </w:tr>
            <w:tr w14:paraId="5B3066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DCDB4B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E6825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vMerge w:val="restart"/>
                  <w:tcBorders>
                    <w:tl2br w:val="nil"/>
                    <w:tr2bl w:val="nil"/>
                  </w:tcBorders>
                  <w:shd w:val="clear" w:color="auto" w:fill="auto"/>
                  <w:vAlign w:val="center"/>
                </w:tcPr>
                <w:p w14:paraId="1697C0C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生产废水</w:t>
                  </w:r>
                </w:p>
              </w:tc>
              <w:tc>
                <w:tcPr>
                  <w:tcW w:w="2776" w:type="pct"/>
                  <w:tcBorders>
                    <w:tl2br w:val="nil"/>
                    <w:tr2bl w:val="nil"/>
                  </w:tcBorders>
                  <w:shd w:val="clear" w:color="auto" w:fill="auto"/>
                  <w:vAlign w:val="center"/>
                </w:tcPr>
                <w:p w14:paraId="051AD85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kern w:val="0"/>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搅拌机冲洗、地坪冲洗废水</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等</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经收集后进入砂石分离器，污水收集池，进入搅拌池，同时添加絮凝沉淀剂（PAM、PAC），上清液回用，压滤泥饼收集后定期外运至G42线南充至成都段高速公路扩容工程弃渣场（经纬度：105.5903，30.6304）。</w:t>
                  </w:r>
                </w:p>
              </w:tc>
              <w:tc>
                <w:tcPr>
                  <w:tcW w:w="631" w:type="pct"/>
                  <w:tcBorders>
                    <w:tl2br w:val="nil"/>
                    <w:tr2bl w:val="nil"/>
                  </w:tcBorders>
                  <w:shd w:val="clear" w:color="auto" w:fill="auto"/>
                  <w:vAlign w:val="center"/>
                </w:tcPr>
                <w:p w14:paraId="5B4FD49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25.0</w:t>
                  </w:r>
                </w:p>
              </w:tc>
            </w:tr>
            <w:tr w14:paraId="76AE8E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1082597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6EC50D7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vMerge w:val="continue"/>
                  <w:tcBorders>
                    <w:tl2br w:val="nil"/>
                    <w:tr2bl w:val="nil"/>
                  </w:tcBorders>
                  <w:shd w:val="clear" w:color="auto" w:fill="auto"/>
                  <w:vAlign w:val="center"/>
                </w:tcPr>
                <w:p w14:paraId="3C95D1A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szCs w:val="21"/>
                      <w:highlight w:val="none"/>
                      <w14:textFill>
                        <w14:solidFill>
                          <w14:schemeClr w14:val="tx1"/>
                        </w14:solidFill>
                      </w14:textFill>
                    </w:rPr>
                  </w:pPr>
                </w:p>
              </w:tc>
              <w:tc>
                <w:tcPr>
                  <w:tcW w:w="2776" w:type="pct"/>
                  <w:tcBorders>
                    <w:tl2br w:val="nil"/>
                    <w:tr2bl w:val="nil"/>
                  </w:tcBorders>
                  <w:shd w:val="clear" w:color="auto" w:fill="auto"/>
                  <w:vAlign w:val="center"/>
                </w:tcPr>
                <w:p w14:paraId="4B8EDC1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kern w:val="0"/>
                      <w:szCs w:val="21"/>
                      <w:highlight w:val="none"/>
                      <w:lang w:eastAsia="zh-CN"/>
                      <w14:textFill>
                        <w14:solidFill>
                          <w14:schemeClr w14:val="tx1"/>
                        </w14:solidFill>
                      </w14:textFill>
                    </w:rPr>
                  </w:pPr>
                  <w:r>
                    <w:rPr>
                      <w:rFonts w:hint="eastAsia" w:ascii="Times New Roman" w:hAnsi="Times New Roman" w:eastAsia="宋体"/>
                      <w:color w:val="000000" w:themeColor="text1"/>
                      <w:kern w:val="0"/>
                      <w:szCs w:val="21"/>
                      <w:highlight w:val="none"/>
                      <w:lang w:eastAsia="zh-CN"/>
                      <w14:textFill>
                        <w14:solidFill>
                          <w14:schemeClr w14:val="tx1"/>
                        </w14:solidFill>
                      </w14:textFill>
                    </w:rPr>
                    <w:t>养护废水及浓水经沉淀池（</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10m</w:t>
                  </w:r>
                  <w:r>
                    <w:rPr>
                      <w:rFonts w:hint="eastAsia" w:ascii="Times New Roman" w:hAnsi="Times New Roman" w:eastAsia="宋体"/>
                      <w:color w:val="000000" w:themeColor="text1"/>
                      <w:kern w:val="0"/>
                      <w:szCs w:val="21"/>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kern w:val="0"/>
                      <w:szCs w:val="21"/>
                      <w:highlight w:val="none"/>
                      <w:lang w:eastAsia="zh-CN"/>
                      <w14:textFill>
                        <w14:solidFill>
                          <w14:schemeClr w14:val="tx1"/>
                        </w14:solidFill>
                      </w14:textFill>
                    </w:rPr>
                    <w:t>）处理后回用于洒水降尘等</w:t>
                  </w:r>
                </w:p>
              </w:tc>
              <w:tc>
                <w:tcPr>
                  <w:tcW w:w="631" w:type="pct"/>
                  <w:tcBorders>
                    <w:tl2br w:val="nil"/>
                    <w:tr2bl w:val="nil"/>
                  </w:tcBorders>
                  <w:shd w:val="clear" w:color="auto" w:fill="auto"/>
                  <w:vAlign w:val="center"/>
                </w:tcPr>
                <w:p w14:paraId="0AAA07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49A3C4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13D84B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3A800B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vMerge w:val="continue"/>
                  <w:tcBorders>
                    <w:tl2br w:val="nil"/>
                    <w:tr2bl w:val="nil"/>
                  </w:tcBorders>
                  <w:shd w:val="clear" w:color="auto" w:fill="auto"/>
                  <w:vAlign w:val="center"/>
                </w:tcPr>
                <w:p w14:paraId="036E6FB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2776" w:type="pct"/>
                  <w:tcBorders>
                    <w:tl2br w:val="nil"/>
                    <w:tr2bl w:val="nil"/>
                  </w:tcBorders>
                  <w:shd w:val="clear" w:color="auto" w:fill="auto"/>
                  <w:vAlign w:val="center"/>
                </w:tcPr>
                <w:p w14:paraId="05CDA0A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ascii="Times New Roman" w:hAnsi="Times New Roman" w:eastAsia="宋体"/>
                      <w:color w:val="000000" w:themeColor="text1"/>
                      <w:kern w:val="0"/>
                      <w:szCs w:val="21"/>
                      <w:highlight w:val="none"/>
                      <w14:textFill>
                        <w14:solidFill>
                          <w14:schemeClr w14:val="tx1"/>
                        </w14:solidFill>
                      </w14:textFill>
                    </w:rPr>
                    <w:t>运输车辆冲洗废水</w:t>
                  </w:r>
                  <w:r>
                    <w:rPr>
                      <w:rFonts w:hint="eastAsia" w:ascii="Times New Roman" w:hAnsi="Times New Roman" w:eastAsia="宋体"/>
                      <w:color w:val="000000" w:themeColor="text1"/>
                      <w:kern w:val="0"/>
                      <w:szCs w:val="21"/>
                      <w:highlight w:val="none"/>
                      <w14:textFill>
                        <w14:solidFill>
                          <w14:schemeClr w14:val="tx1"/>
                        </w14:solidFill>
                      </w14:textFill>
                    </w:rPr>
                    <w:t>：经隔油沉淀池（</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25</w:t>
                  </w:r>
                  <w:r>
                    <w:rPr>
                      <w:rFonts w:hint="eastAsia" w:ascii="Times New Roman" w:hAnsi="Times New Roman" w:eastAsia="宋体"/>
                      <w:color w:val="000000" w:themeColor="text1"/>
                      <w:kern w:val="0"/>
                      <w:szCs w:val="21"/>
                      <w:highlight w:val="none"/>
                      <w14:textFill>
                        <w14:solidFill>
                          <w14:schemeClr w14:val="tx1"/>
                        </w14:solidFill>
                      </w14:textFill>
                    </w:rPr>
                    <w:t>m</w:t>
                  </w:r>
                  <w:r>
                    <w:rPr>
                      <w:rFonts w:hint="eastAsia" w:ascii="Times New Roman" w:hAnsi="Times New Roman" w:eastAsia="宋体"/>
                      <w:color w:val="000000" w:themeColor="text1"/>
                      <w:kern w:val="0"/>
                      <w:szCs w:val="21"/>
                      <w:highlight w:val="none"/>
                      <w:vertAlign w:val="superscript"/>
                      <w14:textFill>
                        <w14:solidFill>
                          <w14:schemeClr w14:val="tx1"/>
                        </w14:solidFill>
                      </w14:textFill>
                    </w:rPr>
                    <w:t>3</w:t>
                  </w:r>
                  <w:r>
                    <w:rPr>
                      <w:rFonts w:hint="eastAsia" w:ascii="Times New Roman" w:hAnsi="Times New Roman" w:eastAsia="宋体"/>
                      <w:color w:val="000000" w:themeColor="text1"/>
                      <w:kern w:val="0"/>
                      <w:szCs w:val="21"/>
                      <w:highlight w:val="none"/>
                      <w14:textFill>
                        <w14:solidFill>
                          <w14:schemeClr w14:val="tx1"/>
                        </w14:solidFill>
                      </w14:textFill>
                    </w:rPr>
                    <w:t>）处理后用于洗车</w:t>
                  </w:r>
                </w:p>
              </w:tc>
              <w:tc>
                <w:tcPr>
                  <w:tcW w:w="631" w:type="pct"/>
                  <w:tcBorders>
                    <w:tl2br w:val="nil"/>
                    <w:tr2bl w:val="nil"/>
                  </w:tcBorders>
                  <w:shd w:val="clear" w:color="auto" w:fill="auto"/>
                  <w:vAlign w:val="center"/>
                </w:tcPr>
                <w:p w14:paraId="0341AF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3.0</w:t>
                  </w:r>
                </w:p>
              </w:tc>
            </w:tr>
            <w:tr w14:paraId="36ACA4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7D1CC8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3571533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C84580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雨水</w:t>
                  </w:r>
                </w:p>
              </w:tc>
              <w:tc>
                <w:tcPr>
                  <w:tcW w:w="2776" w:type="pct"/>
                  <w:tcBorders>
                    <w:tl2br w:val="nil"/>
                    <w:tr2bl w:val="nil"/>
                  </w:tcBorders>
                  <w:shd w:val="clear" w:color="auto" w:fill="auto"/>
                  <w:vAlign w:val="center"/>
                </w:tcPr>
                <w:p w14:paraId="13C4499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kern w:val="0"/>
                      <w:szCs w:val="21"/>
                      <w:highlight w:val="none"/>
                      <w14:textFill>
                        <w14:solidFill>
                          <w14:schemeClr w14:val="tx1"/>
                        </w14:solidFill>
                      </w14:textFill>
                    </w:rPr>
                  </w:pPr>
                  <w:r>
                    <w:rPr>
                      <w:rFonts w:hint="eastAsia" w:ascii="Times New Roman" w:hAnsi="Times New Roman" w:eastAsia="宋体"/>
                      <w:color w:val="000000" w:themeColor="text1"/>
                      <w:kern w:val="0"/>
                      <w:szCs w:val="21"/>
                      <w:highlight w:val="none"/>
                      <w14:textFill>
                        <w14:solidFill>
                          <w14:schemeClr w14:val="tx1"/>
                        </w14:solidFill>
                      </w14:textFill>
                    </w:rPr>
                    <w:t>进入经</w:t>
                  </w:r>
                  <w:r>
                    <w:rPr>
                      <w:rFonts w:hint="eastAsia" w:ascii="Times New Roman" w:hAnsi="Times New Roman" w:eastAsia="宋体"/>
                      <w:color w:val="000000" w:themeColor="text1"/>
                      <w:kern w:val="0"/>
                      <w:szCs w:val="21"/>
                      <w:highlight w:val="none"/>
                      <w:lang w:eastAsia="zh-CN"/>
                      <w14:textFill>
                        <w14:solidFill>
                          <w14:schemeClr w14:val="tx1"/>
                        </w14:solidFill>
                      </w14:textFill>
                    </w:rPr>
                    <w:t>雨水收集池</w:t>
                  </w:r>
                  <w:r>
                    <w:rPr>
                      <w:rFonts w:ascii="Times New Roman" w:hAnsi="Times New Roman" w:eastAsia="宋体"/>
                      <w:color w:val="000000" w:themeColor="text1"/>
                      <w:kern w:val="0"/>
                      <w:szCs w:val="21"/>
                      <w:highlight w:val="none"/>
                      <w14:textFill>
                        <w14:solidFill>
                          <w14:schemeClr w14:val="tx1"/>
                        </w14:solidFill>
                      </w14:textFill>
                    </w:rPr>
                    <w:t>池沉淀</w:t>
                  </w:r>
                  <w:r>
                    <w:rPr>
                      <w:rFonts w:hint="eastAsia" w:ascii="Times New Roman" w:hAnsi="Times New Roman" w:eastAsia="宋体"/>
                      <w:color w:val="000000" w:themeColor="text1"/>
                      <w:kern w:val="0"/>
                      <w:szCs w:val="21"/>
                      <w:highlight w:val="none"/>
                      <w14:textFill>
                        <w14:solidFill>
                          <w14:schemeClr w14:val="tx1"/>
                        </w14:solidFill>
                      </w14:textFill>
                    </w:rPr>
                    <w:t>（容积</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300</w:t>
                  </w:r>
                  <w:r>
                    <w:rPr>
                      <w:rFonts w:hint="eastAsia" w:ascii="Times New Roman" w:hAnsi="Times New Roman" w:eastAsia="宋体"/>
                      <w:color w:val="000000" w:themeColor="text1"/>
                      <w:kern w:val="0"/>
                      <w:szCs w:val="21"/>
                      <w:highlight w:val="none"/>
                      <w14:textFill>
                        <w14:solidFill>
                          <w14:schemeClr w14:val="tx1"/>
                        </w14:solidFill>
                      </w14:textFill>
                    </w:rPr>
                    <w:t>m</w:t>
                  </w:r>
                  <w:r>
                    <w:rPr>
                      <w:rFonts w:hint="eastAsia" w:ascii="Times New Roman" w:hAnsi="Times New Roman" w:eastAsia="宋体"/>
                      <w:color w:val="000000" w:themeColor="text1"/>
                      <w:kern w:val="0"/>
                      <w:szCs w:val="21"/>
                      <w:highlight w:val="none"/>
                      <w:vertAlign w:val="superscript"/>
                      <w14:textFill>
                        <w14:solidFill>
                          <w14:schemeClr w14:val="tx1"/>
                        </w14:solidFill>
                      </w14:textFill>
                    </w:rPr>
                    <w:t>3</w:t>
                  </w:r>
                  <w:r>
                    <w:rPr>
                      <w:rFonts w:hint="eastAsia" w:ascii="Times New Roman" w:hAnsi="Times New Roman" w:eastAsia="宋体"/>
                      <w:color w:val="000000" w:themeColor="text1"/>
                      <w:kern w:val="0"/>
                      <w:szCs w:val="21"/>
                      <w:highlight w:val="none"/>
                      <w14:textFill>
                        <w14:solidFill>
                          <w14:schemeClr w14:val="tx1"/>
                        </w14:solidFill>
                      </w14:textFill>
                    </w:rPr>
                    <w:t>）</w:t>
                  </w:r>
                  <w:r>
                    <w:rPr>
                      <w:rFonts w:ascii="Times New Roman" w:hAnsi="Times New Roman" w:eastAsia="宋体"/>
                      <w:color w:val="000000" w:themeColor="text1"/>
                      <w:kern w:val="0"/>
                      <w:szCs w:val="21"/>
                      <w:highlight w:val="none"/>
                      <w14:textFill>
                        <w14:solidFill>
                          <w14:schemeClr w14:val="tx1"/>
                        </w14:solidFill>
                      </w14:textFill>
                    </w:rPr>
                    <w:t>处理后回用</w:t>
                  </w:r>
                </w:p>
              </w:tc>
              <w:tc>
                <w:tcPr>
                  <w:tcW w:w="631" w:type="pct"/>
                  <w:tcBorders>
                    <w:tl2br w:val="nil"/>
                    <w:tr2bl w:val="nil"/>
                  </w:tcBorders>
                  <w:shd w:val="clear" w:color="auto" w:fill="auto"/>
                  <w:vAlign w:val="center"/>
                </w:tcPr>
                <w:p w14:paraId="15DDC16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5.0</w:t>
                  </w:r>
                </w:p>
              </w:tc>
            </w:tr>
            <w:tr w14:paraId="5613A0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725557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4833756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噪声治理</w:t>
                  </w:r>
                </w:p>
              </w:tc>
              <w:tc>
                <w:tcPr>
                  <w:tcW w:w="3756" w:type="pct"/>
                  <w:gridSpan w:val="2"/>
                  <w:tcBorders>
                    <w:tl2br w:val="nil"/>
                    <w:tr2bl w:val="nil"/>
                  </w:tcBorders>
                  <w:shd w:val="clear" w:color="auto" w:fill="auto"/>
                  <w:vAlign w:val="center"/>
                </w:tcPr>
                <w:p w14:paraId="4C3D0A9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szCs w:val="21"/>
                      <w:highlight w:val="none"/>
                      <w:lang w:eastAsia="zh-CN"/>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选用低噪声设备、基础减震、厂房隔声、距离衰减、合理安排生产时间等</w:t>
                  </w:r>
                </w:p>
              </w:tc>
              <w:tc>
                <w:tcPr>
                  <w:tcW w:w="631" w:type="pct"/>
                  <w:tcBorders>
                    <w:tl2br w:val="nil"/>
                    <w:tr2bl w:val="nil"/>
                  </w:tcBorders>
                  <w:shd w:val="clear" w:color="auto" w:fill="auto"/>
                  <w:vAlign w:val="center"/>
                </w:tcPr>
                <w:p w14:paraId="693CC91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2.0</w:t>
                  </w:r>
                </w:p>
              </w:tc>
            </w:tr>
            <w:tr w14:paraId="5C4B47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1CEF4B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restart"/>
                  <w:tcBorders>
                    <w:tl2br w:val="nil"/>
                    <w:tr2bl w:val="nil"/>
                  </w:tcBorders>
                  <w:shd w:val="clear" w:color="auto" w:fill="auto"/>
                  <w:vAlign w:val="center"/>
                </w:tcPr>
                <w:p w14:paraId="20CDF93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固体废物</w:t>
                  </w:r>
                </w:p>
              </w:tc>
              <w:tc>
                <w:tcPr>
                  <w:tcW w:w="979" w:type="pct"/>
                  <w:tcBorders>
                    <w:tl2br w:val="nil"/>
                    <w:tr2bl w:val="nil"/>
                  </w:tcBorders>
                  <w:shd w:val="clear" w:color="auto" w:fill="auto"/>
                  <w:vAlign w:val="center"/>
                </w:tcPr>
                <w:p w14:paraId="4E4C2E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生活垃圾</w:t>
                  </w:r>
                </w:p>
              </w:tc>
              <w:tc>
                <w:tcPr>
                  <w:tcW w:w="2776" w:type="pct"/>
                  <w:tcBorders>
                    <w:tl2br w:val="nil"/>
                    <w:tr2bl w:val="nil"/>
                  </w:tcBorders>
                  <w:shd w:val="clear" w:color="auto" w:fill="auto"/>
                  <w:vAlign w:val="center"/>
                </w:tcPr>
                <w:p w14:paraId="187C085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生活垃圾由垃圾桶收集，交环卫部门转运处置；</w:t>
                  </w:r>
                </w:p>
              </w:tc>
              <w:tc>
                <w:tcPr>
                  <w:tcW w:w="631" w:type="pct"/>
                  <w:tcBorders>
                    <w:tl2br w:val="nil"/>
                    <w:tr2bl w:val="nil"/>
                  </w:tcBorders>
                  <w:shd w:val="clear" w:color="auto" w:fill="auto"/>
                  <w:vAlign w:val="center"/>
                </w:tcPr>
                <w:p w14:paraId="6E0E6E3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4.0</w:t>
                  </w:r>
                </w:p>
              </w:tc>
            </w:tr>
            <w:tr w14:paraId="6702B9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5F32AA6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91EF94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DE680C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餐厨垃圾</w:t>
                  </w:r>
                </w:p>
              </w:tc>
              <w:tc>
                <w:tcPr>
                  <w:tcW w:w="2776" w:type="pct"/>
                  <w:tcBorders>
                    <w:tl2br w:val="nil"/>
                    <w:tr2bl w:val="nil"/>
                  </w:tcBorders>
                  <w:shd w:val="clear" w:color="auto" w:fill="auto"/>
                  <w:vAlign w:val="center"/>
                </w:tcPr>
                <w:p w14:paraId="4553143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专用容器收集，日产日清，交由具有餐厨垃圾处置资质单位处置</w:t>
                  </w:r>
                </w:p>
              </w:tc>
              <w:tc>
                <w:tcPr>
                  <w:tcW w:w="631" w:type="pct"/>
                  <w:tcBorders>
                    <w:tl2br w:val="nil"/>
                    <w:tr2bl w:val="nil"/>
                  </w:tcBorders>
                  <w:shd w:val="clear" w:color="auto" w:fill="auto"/>
                  <w:vAlign w:val="center"/>
                </w:tcPr>
                <w:p w14:paraId="41FBCE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37FD61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456028C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090A92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48917996">
                  <w:pPr>
                    <w:keepNext w:val="0"/>
                    <w:keepLines w:val="0"/>
                    <w:pageBreakBefore w:val="0"/>
                    <w:widowControl w:val="0"/>
                    <w:tabs>
                      <w:tab w:val="left" w:pos="19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val="en-US" w:eastAsia="zh-CN"/>
                      <w14:textFill>
                        <w14:solidFill>
                          <w14:schemeClr w14:val="tx1"/>
                        </w14:solidFill>
                      </w14:textFill>
                    </w:rPr>
                    <w:t>油水分离器废油</w:t>
                  </w:r>
                </w:p>
              </w:tc>
              <w:tc>
                <w:tcPr>
                  <w:tcW w:w="2776" w:type="pct"/>
                  <w:tcBorders>
                    <w:tl2br w:val="nil"/>
                    <w:tr2bl w:val="nil"/>
                  </w:tcBorders>
                  <w:shd w:val="clear" w:color="auto" w:fill="auto"/>
                  <w:vAlign w:val="center"/>
                </w:tcPr>
                <w:p w14:paraId="79E8E3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宋体" w:hAnsi="宋体" w:eastAsia="宋体" w:cs="宋体"/>
                      <w:bCs/>
                      <w:color w:val="000000" w:themeColor="text1"/>
                      <w:kern w:val="0"/>
                      <w:sz w:val="21"/>
                      <w:szCs w:val="21"/>
                      <w:highlight w:val="none"/>
                      <w14:textFill>
                        <w14:solidFill>
                          <w14:schemeClr w14:val="tx1"/>
                        </w14:solidFill>
                      </w14:textFill>
                    </w:rPr>
                    <w:t>交由具有餐厨垃圾处置资质单位处置</w:t>
                  </w:r>
                </w:p>
              </w:tc>
              <w:tc>
                <w:tcPr>
                  <w:tcW w:w="631" w:type="pct"/>
                  <w:tcBorders>
                    <w:tl2br w:val="nil"/>
                    <w:tr2bl w:val="nil"/>
                  </w:tcBorders>
                  <w:shd w:val="clear" w:color="auto" w:fill="auto"/>
                  <w:vAlign w:val="center"/>
                </w:tcPr>
                <w:p w14:paraId="03AEF68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1.0</w:t>
                  </w:r>
                </w:p>
              </w:tc>
            </w:tr>
            <w:tr w14:paraId="7F8CBC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FFE0F7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01F18A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7B64679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收尘系统收集的粉尘</w:t>
                  </w:r>
                </w:p>
              </w:tc>
              <w:tc>
                <w:tcPr>
                  <w:tcW w:w="2776" w:type="pct"/>
                  <w:tcBorders>
                    <w:tl2br w:val="nil"/>
                    <w:tr2bl w:val="nil"/>
                  </w:tcBorders>
                  <w:shd w:val="clear" w:color="auto" w:fill="auto"/>
                  <w:vAlign w:val="center"/>
                </w:tcPr>
                <w:p w14:paraId="30246C6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收集后回用于生产</w:t>
                  </w:r>
                </w:p>
              </w:tc>
              <w:tc>
                <w:tcPr>
                  <w:tcW w:w="631" w:type="pct"/>
                  <w:tcBorders>
                    <w:tl2br w:val="nil"/>
                    <w:tr2bl w:val="nil"/>
                  </w:tcBorders>
                  <w:shd w:val="clear" w:color="auto" w:fill="auto"/>
                  <w:vAlign w:val="center"/>
                </w:tcPr>
                <w:p w14:paraId="05080B9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w:t>
                  </w:r>
                </w:p>
              </w:tc>
            </w:tr>
            <w:tr w14:paraId="098775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850A37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4ED10FC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0879007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沉淀池污泥</w:t>
                  </w: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（压滤泥饼）</w:t>
                  </w:r>
                </w:p>
              </w:tc>
              <w:tc>
                <w:tcPr>
                  <w:tcW w:w="2776" w:type="pct"/>
                  <w:vMerge w:val="restart"/>
                  <w:tcBorders>
                    <w:tl2br w:val="nil"/>
                    <w:tr2bl w:val="nil"/>
                  </w:tcBorders>
                  <w:shd w:val="clear" w:color="auto" w:fill="auto"/>
                  <w:vAlign w:val="center"/>
                </w:tcPr>
                <w:p w14:paraId="5439762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收集后清运至</w:t>
                  </w:r>
                  <w:r>
                    <w:rPr>
                      <w:rFonts w:hint="eastAsia" w:ascii="Times New Roman" w:hAnsi="Times New Roman" w:eastAsia="宋体"/>
                      <w:color w:val="000000" w:themeColor="text1"/>
                      <w:kern w:val="0"/>
                      <w:szCs w:val="21"/>
                      <w:highlight w:val="none"/>
                      <w:lang w:val="en-US" w:eastAsia="zh-CN"/>
                      <w14:textFill>
                        <w14:solidFill>
                          <w14:schemeClr w14:val="tx1"/>
                        </w14:solidFill>
                      </w14:textFill>
                    </w:rPr>
                    <w:t>G42线南充至成都段高速公路扩容工程弃渣场（经纬度：105.5903，30.6304）</w:t>
                  </w:r>
                </w:p>
              </w:tc>
              <w:tc>
                <w:tcPr>
                  <w:tcW w:w="631" w:type="pct"/>
                  <w:vMerge w:val="restart"/>
                  <w:tcBorders>
                    <w:tl2br w:val="nil"/>
                    <w:tr2bl w:val="nil"/>
                  </w:tcBorders>
                  <w:shd w:val="clear" w:color="auto" w:fill="auto"/>
                  <w:vAlign w:val="center"/>
                </w:tcPr>
                <w:p w14:paraId="2FF2CD1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2</w:t>
                  </w: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.5</w:t>
                  </w:r>
                </w:p>
              </w:tc>
            </w:tr>
            <w:tr w14:paraId="59E93C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36394EB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2537DE6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1F08147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s="Times New Roman"/>
                      <w:b w:val="0"/>
                      <w:bCs w:val="0"/>
                      <w:color w:val="000000" w:themeColor="text1"/>
                      <w:kern w:val="0"/>
                      <w:sz w:val="21"/>
                      <w:szCs w:val="21"/>
                      <w:highlight w:val="none"/>
                      <w:lang w:eastAsia="zh-CN"/>
                      <w14:textFill>
                        <w14:solidFill>
                          <w14:schemeClr w14:val="tx1"/>
                        </w14:solidFill>
                      </w14:textFill>
                    </w:rPr>
                    <w:t>检验室硬化混凝土块</w:t>
                  </w:r>
                </w:p>
              </w:tc>
              <w:tc>
                <w:tcPr>
                  <w:tcW w:w="2776" w:type="pct"/>
                  <w:vMerge w:val="continue"/>
                  <w:tcBorders>
                    <w:tl2br w:val="nil"/>
                    <w:tr2bl w:val="nil"/>
                  </w:tcBorders>
                  <w:shd w:val="clear" w:color="auto" w:fill="auto"/>
                  <w:vAlign w:val="center"/>
                </w:tcPr>
                <w:p w14:paraId="5EBDE59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631" w:type="pct"/>
                  <w:vMerge w:val="continue"/>
                  <w:tcBorders>
                    <w:tl2br w:val="nil"/>
                    <w:tr2bl w:val="nil"/>
                  </w:tcBorders>
                  <w:shd w:val="clear" w:color="auto" w:fill="auto"/>
                  <w:vAlign w:val="center"/>
                </w:tcPr>
                <w:p w14:paraId="207B504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p>
              </w:tc>
            </w:tr>
            <w:tr w14:paraId="3EA61C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3A5258C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vMerge w:val="continue"/>
                  <w:tcBorders>
                    <w:tl2br w:val="nil"/>
                    <w:tr2bl w:val="nil"/>
                  </w:tcBorders>
                  <w:shd w:val="clear" w:color="auto" w:fill="auto"/>
                  <w:vAlign w:val="center"/>
                </w:tcPr>
                <w:p w14:paraId="07FD139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p>
              </w:tc>
              <w:tc>
                <w:tcPr>
                  <w:tcW w:w="979" w:type="pct"/>
                  <w:tcBorders>
                    <w:tl2br w:val="nil"/>
                    <w:tr2bl w:val="nil"/>
                  </w:tcBorders>
                  <w:shd w:val="clear" w:color="auto" w:fill="auto"/>
                  <w:vAlign w:val="center"/>
                </w:tcPr>
                <w:p w14:paraId="7E1DB39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危险废物</w:t>
                  </w:r>
                </w:p>
              </w:tc>
              <w:tc>
                <w:tcPr>
                  <w:tcW w:w="2776" w:type="pct"/>
                  <w:tcBorders>
                    <w:tl2br w:val="nil"/>
                    <w:tr2bl w:val="nil"/>
                  </w:tcBorders>
                  <w:shd w:val="clear" w:color="auto" w:fill="auto"/>
                  <w:vAlign w:val="center"/>
                </w:tcPr>
                <w:p w14:paraId="4F14107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olor w:val="000000" w:themeColor="text1"/>
                      <w:szCs w:val="21"/>
                      <w:highlight w:val="none"/>
                      <w14:textFill>
                        <w14:solidFill>
                          <w14:schemeClr w14:val="tx1"/>
                        </w14:solidFill>
                      </w14:textFill>
                    </w:rPr>
                    <w:t>暂存于危废暂存间，定期交由有资质的单位进行处理</w:t>
                  </w:r>
                </w:p>
              </w:tc>
              <w:tc>
                <w:tcPr>
                  <w:tcW w:w="631" w:type="pct"/>
                  <w:tcBorders>
                    <w:tl2br w:val="nil"/>
                    <w:tr2bl w:val="nil"/>
                  </w:tcBorders>
                  <w:shd w:val="clear" w:color="auto" w:fill="auto"/>
                  <w:vAlign w:val="center"/>
                </w:tcPr>
                <w:p w14:paraId="477A0A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4.0</w:t>
                  </w:r>
                </w:p>
              </w:tc>
            </w:tr>
            <w:tr w14:paraId="3608B6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2CD06B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706906D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地下水防治</w:t>
                  </w:r>
                </w:p>
              </w:tc>
              <w:tc>
                <w:tcPr>
                  <w:tcW w:w="3756" w:type="pct"/>
                  <w:gridSpan w:val="2"/>
                  <w:tcBorders>
                    <w:tl2br w:val="nil"/>
                    <w:tr2bl w:val="nil"/>
                  </w:tcBorders>
                  <w:shd w:val="clear" w:color="auto" w:fill="auto"/>
                  <w:vAlign w:val="center"/>
                </w:tcPr>
                <w:p w14:paraId="0B40B659">
                  <w:pPr>
                    <w:keepNext w:val="0"/>
                    <w:keepLines w:val="0"/>
                    <w:pageBreakBefore w:val="0"/>
                    <w:widowControl w:val="0"/>
                    <w:kinsoku/>
                    <w:wordWrap/>
                    <w:overflowPunct/>
                    <w:topLinePunct w:val="0"/>
                    <w:autoSpaceDE/>
                    <w:autoSpaceDN/>
                    <w:bidi w:val="0"/>
                    <w:adjustRightInd w:val="0"/>
                    <w:snapToGrid w:val="0"/>
                    <w:spacing w:line="240" w:lineRule="auto"/>
                    <w:ind w:firstLine="210" w:firstLineChars="100"/>
                    <w:textAlignment w:val="auto"/>
                    <w:rPr>
                      <w:rFonts w:ascii="Times New Roman" w:hAnsi="Times New Roman" w:eastAsia="宋体"/>
                      <w:color w:val="000000" w:themeColor="text1"/>
                      <w:szCs w:val="21"/>
                      <w:highlight w:val="none"/>
                      <w14:textFill>
                        <w14:solidFill>
                          <w14:schemeClr w14:val="tx1"/>
                        </w14:solidFill>
                      </w14:textFill>
                    </w:rPr>
                  </w:pPr>
                  <w:r>
                    <w:rPr>
                      <w:rFonts w:hint="eastAsia" w:ascii="Times New Roman" w:hAnsi="Times New Roman" w:eastAsia="宋体"/>
                      <w:color w:val="000000" w:themeColor="text1"/>
                      <w:szCs w:val="21"/>
                      <w:highlight w:val="none"/>
                      <w:lang w:eastAsia="zh-CN"/>
                      <w14:textFill>
                        <w14:solidFill>
                          <w14:schemeClr w14:val="tx1"/>
                        </w14:solidFill>
                      </w14:textFill>
                    </w:rPr>
                    <w:t>分区防渗。重点防渗区</w:t>
                  </w:r>
                  <w:r>
                    <w:rPr>
                      <w:rFonts w:ascii="Times New Roman" w:hAnsi="Times New Roman" w:eastAsia="宋体"/>
                      <w:color w:val="000000" w:themeColor="text1"/>
                      <w:szCs w:val="21"/>
                      <w:highlight w:val="none"/>
                      <w14:textFill>
                        <w14:solidFill>
                          <w14:schemeClr w14:val="tx1"/>
                        </w14:solidFill>
                      </w14:textFill>
                    </w:rPr>
                    <w:t>（</w:t>
                  </w:r>
                  <w:r>
                    <w:rPr>
                      <w:rFonts w:hint="eastAsia" w:ascii="Times New Roman" w:hAnsi="Times New Roman" w:eastAsia="宋体"/>
                      <w:color w:val="000000" w:themeColor="text1"/>
                      <w:szCs w:val="21"/>
                      <w:highlight w:val="none"/>
                      <w:lang w:eastAsia="zh-CN"/>
                      <w14:textFill>
                        <w14:solidFill>
                          <w14:schemeClr w14:val="tx1"/>
                        </w14:solidFill>
                      </w14:textFill>
                    </w:rPr>
                    <w:t>危废暂存间</w:t>
                  </w:r>
                  <w:r>
                    <w:rPr>
                      <w:rFonts w:ascii="Times New Roman" w:hAnsi="Times New Roman" w:eastAsia="宋体"/>
                      <w:color w:val="000000" w:themeColor="text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Mb≥6m，</w:t>
                  </w:r>
                  <w:r>
                    <w:rPr>
                      <w:rFonts w:ascii="Times New Roman" w:hAnsi="Times New Roman" w:eastAsia="宋体"/>
                      <w:color w:val="000000" w:themeColor="text1"/>
                      <w:szCs w:val="21"/>
                      <w:highlight w:val="none"/>
                      <w14:textFill>
                        <w14:solidFill>
                          <w14:schemeClr w14:val="tx1"/>
                        </w14:solidFill>
                      </w14:textFill>
                    </w:rPr>
                    <w:t>渗透系数≤10</w:t>
                  </w:r>
                  <w:r>
                    <w:rPr>
                      <w:rFonts w:ascii="Times New Roman" w:hAnsi="Times New Roman" w:eastAsia="宋体"/>
                      <w:color w:val="000000" w:themeColor="text1"/>
                      <w:szCs w:val="21"/>
                      <w:highlight w:val="none"/>
                      <w:vertAlign w:val="superscript"/>
                      <w14:textFill>
                        <w14:solidFill>
                          <w14:schemeClr w14:val="tx1"/>
                        </w14:solidFill>
                      </w14:textFill>
                    </w:rPr>
                    <w:t>-10</w:t>
                  </w:r>
                  <w:r>
                    <w:rPr>
                      <w:rFonts w:ascii="Times New Roman" w:hAnsi="Times New Roman" w:eastAsia="宋体"/>
                      <w:color w:val="000000" w:themeColor="text1"/>
                      <w:szCs w:val="21"/>
                      <w:highlight w:val="none"/>
                      <w14:textFill>
                        <w14:solidFill>
                          <w14:schemeClr w14:val="tx1"/>
                        </w14:solidFill>
                      </w14:textFill>
                    </w:rPr>
                    <w:t>cm/s</w:t>
                  </w:r>
                  <w:r>
                    <w:rPr>
                      <w:rFonts w:hint="eastAsia" w:ascii="Times New Roman" w:hAnsi="Times New Roman" w:eastAsia="宋体"/>
                      <w:color w:val="000000" w:themeColor="text1"/>
                      <w:szCs w:val="21"/>
                      <w:highlight w:val="none"/>
                      <w:lang w:eastAsia="zh-CN"/>
                      <w14:textFill>
                        <w14:solidFill>
                          <w14:schemeClr w14:val="tx1"/>
                        </w14:solidFill>
                      </w14:textFill>
                    </w:rPr>
                    <w:t>；隔油沉淀池</w:t>
                  </w:r>
                  <w:r>
                    <w:rPr>
                      <w:rFonts w:hint="default" w:ascii="Times New Roman" w:hAnsi="Times New Roman" w:eastAsia="宋体" w:cs="Times New Roman"/>
                      <w:color w:val="000000" w:themeColor="text1"/>
                      <w:sz w:val="21"/>
                      <w:szCs w:val="21"/>
                      <w:highlight w:val="none"/>
                      <w14:textFill>
                        <w14:solidFill>
                          <w14:schemeClr w14:val="tx1"/>
                        </w14:solidFill>
                      </w14:textFill>
                    </w:rPr>
                    <w:t>Mb≥6m，</w:t>
                  </w:r>
                  <w:r>
                    <w:rPr>
                      <w:rFonts w:ascii="Times New Roman" w:hAnsi="Times New Roman" w:eastAsia="宋体"/>
                      <w:color w:val="000000" w:themeColor="text1"/>
                      <w:szCs w:val="21"/>
                      <w:highlight w:val="none"/>
                      <w14:textFill>
                        <w14:solidFill>
                          <w14:schemeClr w14:val="tx1"/>
                        </w14:solidFill>
                      </w14:textFill>
                    </w:rPr>
                    <w:t>渗透系数≤10</w:t>
                  </w:r>
                  <w:r>
                    <w:rPr>
                      <w:rFonts w:ascii="Times New Roman" w:hAnsi="Times New Roman" w:eastAsia="宋体"/>
                      <w:color w:val="000000" w:themeColor="text1"/>
                      <w:szCs w:val="21"/>
                      <w:highlight w:val="none"/>
                      <w:vertAlign w:val="superscript"/>
                      <w14:textFill>
                        <w14:solidFill>
                          <w14:schemeClr w14:val="tx1"/>
                        </w14:solidFill>
                      </w14:textFill>
                    </w:rPr>
                    <w:t>-</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7</w:t>
                  </w:r>
                  <w:r>
                    <w:rPr>
                      <w:rFonts w:ascii="Times New Roman" w:hAnsi="Times New Roman" w:eastAsia="宋体"/>
                      <w:color w:val="000000" w:themeColor="text1"/>
                      <w:szCs w:val="21"/>
                      <w:highlight w:val="none"/>
                      <w14:textFill>
                        <w14:solidFill>
                          <w14:schemeClr w14:val="tx1"/>
                        </w14:solidFill>
                      </w14:textFill>
                    </w:rPr>
                    <w:t>cm/s）；一般防渗</w:t>
                  </w:r>
                  <w:r>
                    <w:rPr>
                      <w:rFonts w:hint="eastAsia" w:ascii="Times New Roman" w:hAnsi="Times New Roman" w:eastAsia="宋体"/>
                      <w:color w:val="000000" w:themeColor="text1"/>
                      <w:szCs w:val="21"/>
                      <w:highlight w:val="none"/>
                      <w:lang w:eastAsia="zh-CN"/>
                      <w14:textFill>
                        <w14:solidFill>
                          <w14:schemeClr w14:val="tx1"/>
                        </w14:solidFill>
                      </w14:textFill>
                    </w:rPr>
                    <w:t>区</w:t>
                  </w:r>
                  <w:r>
                    <w:rPr>
                      <w:rFonts w:ascii="Times New Roman" w:hAnsi="Times New Roman" w:eastAsia="宋体"/>
                      <w:color w:val="000000" w:themeColor="text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生产区地面（拌合</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区、钢筋加工场、预制梁场</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）、沉淀水池、</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、雨水收集池底部以及四周</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Mb≥</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1"/>
                      <w:szCs w:val="21"/>
                      <w:highlight w:val="none"/>
                      <w14:textFill>
                        <w14:solidFill>
                          <w14:schemeClr w14:val="tx1"/>
                        </w14:solidFill>
                      </w14:textFill>
                    </w:rPr>
                    <w:t>m，</w:t>
                  </w:r>
                  <w:r>
                    <w:rPr>
                      <w:rFonts w:ascii="Times New Roman" w:hAnsi="Times New Roman" w:eastAsia="宋体"/>
                      <w:color w:val="000000" w:themeColor="text1"/>
                      <w:szCs w:val="21"/>
                      <w:highlight w:val="none"/>
                      <w14:textFill>
                        <w14:solidFill>
                          <w14:schemeClr w14:val="tx1"/>
                        </w14:solidFill>
                      </w14:textFill>
                    </w:rPr>
                    <w:t>渗透系数≤10</w:t>
                  </w:r>
                  <w:r>
                    <w:rPr>
                      <w:rFonts w:ascii="Times New Roman" w:hAnsi="Times New Roman" w:eastAsia="宋体"/>
                      <w:color w:val="000000" w:themeColor="text1"/>
                      <w:szCs w:val="21"/>
                      <w:highlight w:val="none"/>
                      <w:vertAlign w:val="superscript"/>
                      <w14:textFill>
                        <w14:solidFill>
                          <w14:schemeClr w14:val="tx1"/>
                        </w14:solidFill>
                      </w14:textFill>
                    </w:rPr>
                    <w:t>-</w:t>
                  </w:r>
                  <w:r>
                    <w:rPr>
                      <w:rFonts w:hint="eastAsia" w:ascii="Times New Roman" w:hAnsi="Times New Roman" w:eastAsia="宋体"/>
                      <w:color w:val="000000" w:themeColor="text1"/>
                      <w:szCs w:val="21"/>
                      <w:highlight w:val="none"/>
                      <w:vertAlign w:val="superscript"/>
                      <w:lang w:val="en-US" w:eastAsia="zh-CN"/>
                      <w14:textFill>
                        <w14:solidFill>
                          <w14:schemeClr w14:val="tx1"/>
                        </w14:solidFill>
                      </w14:textFill>
                    </w:rPr>
                    <w:t>7</w:t>
                  </w:r>
                  <w:r>
                    <w:rPr>
                      <w:rFonts w:ascii="Times New Roman" w:hAnsi="Times New Roman" w:eastAsia="宋体"/>
                      <w:color w:val="000000" w:themeColor="text1"/>
                      <w:szCs w:val="21"/>
                      <w:highlight w:val="none"/>
                      <w14:textFill>
                        <w14:solidFill>
                          <w14:schemeClr w14:val="tx1"/>
                        </w14:solidFill>
                      </w14:textFill>
                    </w:rPr>
                    <w:t>cm/s）；</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料仓地面、办公生活区域、厂内道路</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等</w:t>
                  </w:r>
                  <w:r>
                    <w:rPr>
                      <w:rFonts w:ascii="Times New Roman" w:hAnsi="Times New Roman" w:eastAsia="宋体"/>
                      <w:color w:val="000000" w:themeColor="text1"/>
                      <w:szCs w:val="21"/>
                      <w:highlight w:val="none"/>
                      <w14:textFill>
                        <w14:solidFill>
                          <w14:schemeClr w14:val="tx1"/>
                        </w14:solidFill>
                      </w14:textFill>
                    </w:rPr>
                    <w:t>其他地面做简单防渗，进行一般地面硬化处理</w:t>
                  </w:r>
                </w:p>
              </w:tc>
              <w:tc>
                <w:tcPr>
                  <w:tcW w:w="631" w:type="pct"/>
                  <w:tcBorders>
                    <w:tl2br w:val="nil"/>
                    <w:tr2bl w:val="nil"/>
                  </w:tcBorders>
                  <w:shd w:val="clear" w:color="auto" w:fill="auto"/>
                  <w:vAlign w:val="center"/>
                </w:tcPr>
                <w:p w14:paraId="50EC28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w:t>
                  </w:r>
                  <w:r>
                    <w:rPr>
                      <w:rFonts w:ascii="Times New Roman" w:hAnsi="Times New Roman" w:eastAsia="宋体"/>
                      <w:snapToGrid w:val="0"/>
                      <w:color w:val="000000" w:themeColor="text1"/>
                      <w:kern w:val="0"/>
                      <w:szCs w:val="21"/>
                      <w:highlight w:val="none"/>
                      <w14:textFill>
                        <w14:solidFill>
                          <w14:schemeClr w14:val="tx1"/>
                        </w14:solidFill>
                      </w14:textFill>
                    </w:rPr>
                    <w:t>.0</w:t>
                  </w:r>
                </w:p>
              </w:tc>
            </w:tr>
            <w:tr w14:paraId="39043D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99" w:type="pct"/>
                  <w:vMerge w:val="continue"/>
                  <w:tcBorders>
                    <w:tl2br w:val="nil"/>
                    <w:tr2bl w:val="nil"/>
                  </w:tcBorders>
                  <w:shd w:val="clear" w:color="auto" w:fill="auto"/>
                  <w:vAlign w:val="center"/>
                </w:tcPr>
                <w:p w14:paraId="6E35E6E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p>
              </w:tc>
              <w:tc>
                <w:tcPr>
                  <w:tcW w:w="312" w:type="pct"/>
                  <w:tcBorders>
                    <w:tl2br w:val="nil"/>
                    <w:tr2bl w:val="nil"/>
                  </w:tcBorders>
                  <w:shd w:val="clear" w:color="auto" w:fill="auto"/>
                  <w:vAlign w:val="center"/>
                </w:tcPr>
                <w:p w14:paraId="2DA973E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环境风险</w:t>
                  </w:r>
                </w:p>
              </w:tc>
              <w:tc>
                <w:tcPr>
                  <w:tcW w:w="3756" w:type="pct"/>
                  <w:gridSpan w:val="2"/>
                  <w:tcBorders>
                    <w:tl2br w:val="nil"/>
                    <w:tr2bl w:val="nil"/>
                  </w:tcBorders>
                  <w:shd w:val="clear" w:color="auto" w:fill="auto"/>
                  <w:vAlign w:val="center"/>
                </w:tcPr>
                <w:p w14:paraId="0A7BA9A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加强管理及巡查，定期对设备进行维护保养</w:t>
                  </w:r>
                </w:p>
              </w:tc>
              <w:tc>
                <w:tcPr>
                  <w:tcW w:w="631" w:type="pct"/>
                  <w:tcBorders>
                    <w:tl2br w:val="nil"/>
                    <w:tr2bl w:val="nil"/>
                  </w:tcBorders>
                  <w:shd w:val="clear" w:color="auto" w:fill="auto"/>
                  <w:vAlign w:val="center"/>
                </w:tcPr>
                <w:p w14:paraId="07D017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0"/>
                      <w:szCs w:val="21"/>
                      <w:highlight w:val="none"/>
                      <w14:textFill>
                        <w14:solidFill>
                          <w14:schemeClr w14:val="tx1"/>
                        </w14:solidFill>
                      </w14:textFill>
                    </w:rPr>
                  </w:pPr>
                  <w:r>
                    <w:rPr>
                      <w:rFonts w:hint="eastAsia" w:ascii="Times New Roman" w:hAnsi="Times New Roman" w:eastAsia="宋体"/>
                      <w:snapToGrid w:val="0"/>
                      <w:color w:val="000000" w:themeColor="text1"/>
                      <w:kern w:val="0"/>
                      <w:szCs w:val="21"/>
                      <w:highlight w:val="none"/>
                      <w14:textFill>
                        <w14:solidFill>
                          <w14:schemeClr w14:val="tx1"/>
                        </w14:solidFill>
                      </w14:textFill>
                    </w:rPr>
                    <w:t>1.0</w:t>
                  </w:r>
                </w:p>
              </w:tc>
            </w:tr>
            <w:tr w14:paraId="6C31EE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68" w:type="pct"/>
                  <w:gridSpan w:val="4"/>
                  <w:tcBorders>
                    <w:tl2br w:val="nil"/>
                    <w:tr2bl w:val="nil"/>
                  </w:tcBorders>
                  <w:shd w:val="clear" w:color="auto" w:fill="auto"/>
                  <w:vAlign w:val="center"/>
                </w:tcPr>
                <w:p w14:paraId="712ED30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Cs w:val="21"/>
                      <w:highlight w:val="none"/>
                      <w14:textFill>
                        <w14:solidFill>
                          <w14:schemeClr w14:val="tx1"/>
                        </w14:solidFill>
                      </w14:textFill>
                    </w:rPr>
                  </w:pPr>
                  <w:r>
                    <w:rPr>
                      <w:rFonts w:ascii="Times New Roman" w:hAnsi="Times New Roman" w:eastAsia="宋体"/>
                      <w:color w:val="000000" w:themeColor="text1"/>
                      <w:szCs w:val="21"/>
                      <w:highlight w:val="none"/>
                      <w14:textFill>
                        <w14:solidFill>
                          <w14:schemeClr w14:val="tx1"/>
                        </w14:solidFill>
                      </w14:textFill>
                    </w:rPr>
                    <w:t>合计</w:t>
                  </w:r>
                </w:p>
              </w:tc>
              <w:tc>
                <w:tcPr>
                  <w:tcW w:w="631" w:type="pct"/>
                  <w:tcBorders>
                    <w:tl2br w:val="nil"/>
                    <w:tr2bl w:val="nil"/>
                  </w:tcBorders>
                  <w:shd w:val="clear" w:color="auto" w:fill="auto"/>
                  <w:vAlign w:val="center"/>
                </w:tcPr>
                <w:p w14:paraId="10482F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0"/>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0"/>
                      <w:szCs w:val="21"/>
                      <w:highlight w:val="none"/>
                      <w:lang w:val="en-US" w:eastAsia="zh-CN"/>
                      <w14:textFill>
                        <w14:solidFill>
                          <w14:schemeClr w14:val="tx1"/>
                        </w14:solidFill>
                      </w14:textFill>
                    </w:rPr>
                    <w:t>110.4</w:t>
                  </w:r>
                </w:p>
              </w:tc>
            </w:tr>
          </w:tbl>
          <w:p w14:paraId="466EB1DF">
            <w:pPr>
              <w:pStyle w:val="10"/>
              <w:spacing w:after="0" w:line="500" w:lineRule="exact"/>
              <w:ind w:left="0" w:leftChars="0" w:right="0" w:rightChars="0" w:firstLine="420" w:firstLineChars="200"/>
              <w:rPr>
                <w:color w:val="000000" w:themeColor="text1"/>
                <w:highlight w:val="none"/>
                <w14:textFill>
                  <w14:solidFill>
                    <w14:schemeClr w14:val="tx1"/>
                  </w14:solidFill>
                </w14:textFill>
              </w:rPr>
            </w:pPr>
          </w:p>
        </w:tc>
      </w:tr>
      <w:tr w14:paraId="30455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14:paraId="22E5BB1A">
            <w:pPr>
              <w:pStyle w:val="10"/>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jc w:val="center"/>
              <w:textAlignment w:val="auto"/>
              <w:rPr>
                <w:color w:val="000000" w:themeColor="text1"/>
                <w:sz w:val="24"/>
                <w:szCs w:val="24"/>
                <w:highlight w:val="none"/>
                <w14:textFill>
                  <w14:solidFill>
                    <w14:schemeClr w14:val="tx1"/>
                  </w14:solidFill>
                </w14:textFill>
              </w:rPr>
            </w:pPr>
            <w:r>
              <w:rPr>
                <w:rFonts w:hint="eastAsia" w:cs="Times New Roman"/>
                <w:bCs/>
                <w:color w:val="000000" w:themeColor="text1"/>
                <w:spacing w:val="10"/>
                <w:kern w:val="2"/>
                <w:sz w:val="24"/>
                <w:szCs w:val="24"/>
                <w:highlight w:val="none"/>
                <w:lang w:val="en-US" w:eastAsia="zh-CN" w:bidi="ar-SA"/>
                <w14:textFill>
                  <w14:solidFill>
                    <w14:schemeClr w14:val="tx1"/>
                  </w14:solidFill>
                </w14:textFill>
              </w:rPr>
              <w:t>退役期</w:t>
            </w:r>
            <w:r>
              <w:rPr>
                <w:rFonts w:hint="eastAsia"/>
                <w:bCs/>
                <w:color w:val="000000" w:themeColor="text1"/>
                <w:spacing w:val="10"/>
                <w:sz w:val="24"/>
                <w:szCs w:val="24"/>
                <w:highlight w:val="none"/>
                <w14:textFill>
                  <w14:solidFill>
                    <w14:schemeClr w14:val="tx1"/>
                  </w14:solidFill>
                </w14:textFill>
              </w:rPr>
              <w:t>环境影响和环境保护措施</w:t>
            </w:r>
          </w:p>
        </w:tc>
        <w:tc>
          <w:tcPr>
            <w:tcW w:w="4015" w:type="pct"/>
          </w:tcPr>
          <w:p w14:paraId="13B22ED8">
            <w:pPr>
              <w:pStyle w:val="10"/>
              <w:keepNext w:val="0"/>
              <w:keepLines w:val="0"/>
              <w:pageBreakBefore w:val="0"/>
              <w:widowControl w:val="0"/>
              <w:kinsoku/>
              <w:wordWrap/>
              <w:overflowPunct/>
              <w:topLinePunct w:val="0"/>
              <w:autoSpaceDE/>
              <w:autoSpaceDN/>
              <w:bidi w:val="0"/>
              <w:adjustRightInd w:val="0"/>
              <w:snapToGrid w:val="0"/>
              <w:spacing w:before="157" w:beforeLines="50"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本项目为成南高速公路扩容工程项目LJ</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标段配套项目，服务期至成南高速公路扩容工程项目LJ</w:t>
            </w:r>
            <w:r>
              <w:rPr>
                <w:rFonts w:hint="eastAsia"/>
                <w:color w:val="000000" w:themeColor="text1"/>
                <w:sz w:val="24"/>
                <w:szCs w:val="24"/>
                <w:highlight w:val="none"/>
                <w:lang w:val="en-US" w:eastAsia="zh-CN"/>
                <w14:textFill>
                  <w14:solidFill>
                    <w14:schemeClr w14:val="tx1"/>
                  </w14:solidFill>
                </w14:textFill>
              </w:rPr>
              <w:t>5</w:t>
            </w:r>
            <w:r>
              <w:rPr>
                <w:rFonts w:hint="eastAsia"/>
                <w:color w:val="000000" w:themeColor="text1"/>
                <w:sz w:val="24"/>
                <w:szCs w:val="24"/>
                <w:highlight w:val="none"/>
                <w14:textFill>
                  <w14:solidFill>
                    <w14:schemeClr w14:val="tx1"/>
                  </w14:solidFill>
                </w14:textFill>
              </w:rPr>
              <w:t>标段施工结束，预计服务期为3年，2022年</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月~2025年</w:t>
            </w:r>
            <w:r>
              <w:rPr>
                <w:rFonts w:hint="eastAsia"/>
                <w:color w:val="000000" w:themeColor="text1"/>
                <w:sz w:val="24"/>
                <w:szCs w:val="24"/>
                <w:highlight w:val="none"/>
                <w:lang w:val="en-US" w:eastAsia="zh-CN"/>
                <w14:textFill>
                  <w14:solidFill>
                    <w14:schemeClr w14:val="tx1"/>
                  </w14:solidFill>
                </w14:textFill>
              </w:rPr>
              <w:t>9</w:t>
            </w:r>
            <w:r>
              <w:rPr>
                <w:rFonts w:hint="eastAsia"/>
                <w:color w:val="000000" w:themeColor="text1"/>
                <w:sz w:val="24"/>
                <w:szCs w:val="24"/>
                <w:highlight w:val="none"/>
                <w14:textFill>
                  <w14:solidFill>
                    <w14:schemeClr w14:val="tx1"/>
                  </w14:solidFill>
                </w14:textFill>
              </w:rPr>
              <w:t>月，</w:t>
            </w:r>
            <w:r>
              <w:rPr>
                <w:rFonts w:hint="eastAsia"/>
                <w:color w:val="000000" w:themeColor="text1"/>
                <w:sz w:val="24"/>
                <w:szCs w:val="24"/>
                <w:highlight w:val="none"/>
                <w:lang w:eastAsia="zh-CN"/>
                <w14:textFill>
                  <w14:solidFill>
                    <w14:schemeClr w14:val="tx1"/>
                  </w14:solidFill>
                </w14:textFill>
              </w:rPr>
              <w:t>项目</w:t>
            </w:r>
            <w:r>
              <w:rPr>
                <w:rFonts w:hint="eastAsia"/>
                <w:color w:val="000000" w:themeColor="text1"/>
                <w:sz w:val="24"/>
                <w:szCs w:val="24"/>
                <w:highlight w:val="none"/>
                <w14:textFill>
                  <w14:solidFill>
                    <w14:schemeClr w14:val="tx1"/>
                  </w14:solidFill>
                </w14:textFill>
              </w:rPr>
              <w:t>在服务期满后</w:t>
            </w:r>
            <w:r>
              <w:rPr>
                <w:rFonts w:hint="eastAsia"/>
                <w:color w:val="000000" w:themeColor="text1"/>
                <w:sz w:val="24"/>
                <w:szCs w:val="24"/>
                <w:highlight w:val="none"/>
                <w:lang w:eastAsia="zh-CN"/>
                <w14:textFill>
                  <w14:solidFill>
                    <w14:schemeClr w14:val="tx1"/>
                  </w14:solidFill>
                </w14:textFill>
              </w:rPr>
              <w:t>，由中交第三航务工程局有限公司负责对现场建构筑物进行</w:t>
            </w:r>
            <w:r>
              <w:rPr>
                <w:rFonts w:hint="eastAsia"/>
                <w:color w:val="000000" w:themeColor="text1"/>
                <w:sz w:val="24"/>
                <w:szCs w:val="24"/>
                <w:highlight w:val="none"/>
                <w14:textFill>
                  <w14:solidFill>
                    <w14:schemeClr w14:val="tx1"/>
                  </w14:solidFill>
                </w14:textFill>
              </w:rPr>
              <w:t>拆除，</w:t>
            </w:r>
            <w:r>
              <w:rPr>
                <w:rFonts w:hint="eastAsia" w:ascii="Times New Roman" w:hAnsi="Times New Roman" w:eastAsia="宋体"/>
                <w:color w:val="000000" w:themeColor="text1"/>
                <w:sz w:val="24"/>
                <w:highlight w:val="none"/>
                <w:lang w:eastAsia="zh-CN"/>
                <w14:textFill>
                  <w14:solidFill>
                    <w14:schemeClr w14:val="tx1"/>
                  </w14:solidFill>
                </w14:textFill>
              </w:rPr>
              <w:t>无需进行土地复垦</w:t>
            </w:r>
            <w:r>
              <w:rPr>
                <w:rFonts w:hint="eastAsia"/>
                <w:color w:val="000000" w:themeColor="text1"/>
                <w:sz w:val="24"/>
                <w:szCs w:val="24"/>
                <w:highlight w:val="none"/>
                <w14:textFill>
                  <w14:solidFill>
                    <w14:schemeClr w14:val="tx1"/>
                  </w14:solidFill>
                </w14:textFill>
              </w:rPr>
              <w:t>。</w:t>
            </w:r>
          </w:p>
          <w:p w14:paraId="760B9DDC">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1、废气</w:t>
            </w:r>
          </w:p>
          <w:p w14:paraId="7FF8FFB3">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生产构筑物</w:t>
            </w:r>
            <w:r>
              <w:rPr>
                <w:rFonts w:hint="eastAsia"/>
                <w:color w:val="000000" w:themeColor="text1"/>
                <w:sz w:val="24"/>
                <w:szCs w:val="24"/>
                <w:highlight w:val="none"/>
                <w14:textFill>
                  <w14:solidFill>
                    <w14:schemeClr w14:val="tx1"/>
                  </w14:solidFill>
                </w14:textFill>
              </w:rPr>
              <w:t>拆除及运输过程中会产生扬尘，建设单位应按本报告提出的施工期扬尘防治要求。建设单位应与施工单位签订协议，要求施工单位必须严格按照《防治城市扬尘污染技术规范》（HJ/T393-2007）进行施工，尽量减少扬尘对环境的影响，采取以下扬尘防治措施：</w:t>
            </w:r>
          </w:p>
          <w:p w14:paraId="72A1B1C3">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eastAsia" w:ascii="Times New Roman" w:hAnsi="Times New Roman" w:eastAsia="宋体" w:cs="Times New Roman"/>
                <w:bCs/>
                <w:color w:val="000000" w:themeColor="text1"/>
                <w:kern w:val="0"/>
                <w:sz w:val="24"/>
                <w:szCs w:val="24"/>
                <w:highlight w:val="none"/>
                <w:lang w:eastAsia="zh-CN"/>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①封闭施工现场，以减少</w:t>
            </w:r>
            <w:r>
              <w:rPr>
                <w:rFonts w:hint="eastAsia" w:ascii="Times New Roman" w:hAnsi="Times New Roman" w:eastAsia="宋体" w:cs="Times New Roman"/>
                <w:bCs/>
                <w:color w:val="000000" w:themeColor="text1"/>
                <w:kern w:val="0"/>
                <w:sz w:val="24"/>
                <w:szCs w:val="24"/>
                <w:highlight w:val="none"/>
                <w:lang w:eastAsia="zh-CN"/>
                <w14:textFill>
                  <w14:solidFill>
                    <w14:schemeClr w14:val="tx1"/>
                  </w14:solidFill>
                </w14:textFill>
              </w:rPr>
              <w:t>施工</w:t>
            </w: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过程中的粉尘飞扬现象，降低粉尘向大气中的排放</w:t>
            </w:r>
            <w:r>
              <w:rPr>
                <w:rFonts w:hint="eastAsia" w:ascii="Times New Roman" w:hAnsi="Times New Roman" w:eastAsia="宋体" w:cs="Times New Roman"/>
                <w:bCs/>
                <w:color w:val="000000" w:themeColor="text1"/>
                <w:kern w:val="0"/>
                <w:sz w:val="24"/>
                <w:szCs w:val="24"/>
                <w:highlight w:val="none"/>
                <w:lang w:eastAsia="zh-CN"/>
                <w14:textFill>
                  <w14:solidFill>
                    <w14:schemeClr w14:val="tx1"/>
                  </w14:solidFill>
                </w14:textFill>
              </w:rPr>
              <w:t>。</w:t>
            </w:r>
          </w:p>
          <w:p w14:paraId="6B96F8B3">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②要求施工单位文明施工，定期对地面洒水</w:t>
            </w:r>
            <w:r>
              <w:rPr>
                <w:rFonts w:hint="eastAsia" w:ascii="Times New Roman" w:hAnsi="Times New Roman" w:eastAsia="宋体" w:cs="Times New Roman"/>
                <w:color w:val="000000" w:themeColor="text1"/>
                <w:sz w:val="24"/>
                <w:szCs w:val="24"/>
                <w:highlight w:val="none"/>
                <w14:textFill>
                  <w14:solidFill>
                    <w14:schemeClr w14:val="tx1"/>
                  </w14:solidFill>
                </w14:textFill>
              </w:rPr>
              <w:t>（每天</w:t>
            </w:r>
            <w:r>
              <w:rPr>
                <w:rFonts w:ascii="Times New Roman" w:hAnsi="Times New Roman" w:eastAsia="宋体" w:cs="Times New Roman"/>
                <w:color w:val="000000" w:themeColor="text1"/>
                <w:sz w:val="24"/>
                <w:szCs w:val="24"/>
                <w:highlight w:val="none"/>
                <w14:textFill>
                  <w14:solidFill>
                    <w14:schemeClr w14:val="tx1"/>
                  </w14:solidFill>
                </w14:textFill>
              </w:rPr>
              <w:t>不少于</w:t>
            </w:r>
            <w:r>
              <w:rPr>
                <w:rFonts w:hint="eastAsia" w:ascii="Times New Roman" w:hAnsi="Times New Roman" w:eastAsia="宋体" w:cs="Times New Roman"/>
                <w:color w:val="000000" w:themeColor="text1"/>
                <w:sz w:val="24"/>
                <w:szCs w:val="24"/>
                <w:highlight w:val="none"/>
                <w14:textFill>
                  <w14:solidFill>
                    <w14:schemeClr w14:val="tx1"/>
                  </w14:solidFill>
                </w14:textFill>
              </w:rPr>
              <w:t>8次）</w:t>
            </w: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，并对撒落在路面的渣土及时清除，清理阶段做到先洒水后清扫，避免产生扬尘对周边住户正常生活造成影响；</w:t>
            </w:r>
          </w:p>
          <w:p w14:paraId="75DB1A4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default" w:ascii="Times New Roman" w:hAnsi="Times New Roman" w:eastAsia="宋体" w:cs="Times New Roman"/>
                <w:bCs/>
                <w:color w:val="000000" w:themeColor="text1"/>
                <w:kern w:val="0"/>
                <w:sz w:val="24"/>
                <w:szCs w:val="24"/>
                <w:highlight w:val="none"/>
                <w14:textFill>
                  <w14:solidFill>
                    <w14:schemeClr w14:val="tx1"/>
                  </w14:solidFill>
                </w14:textFill>
              </w:rPr>
              <w:t>③</w:t>
            </w:r>
            <w:r>
              <w:rPr>
                <w:rFonts w:ascii="Times New Roman" w:hAnsi="Times New Roman" w:eastAsia="宋体" w:cs="Times New Roman"/>
                <w:color w:val="000000" w:themeColor="text1"/>
                <w:sz w:val="24"/>
                <w:szCs w:val="24"/>
                <w:highlight w:val="none"/>
                <w14:textFill>
                  <w14:solidFill>
                    <w14:schemeClr w14:val="tx1"/>
                  </w14:solidFill>
                </w14:textFill>
              </w:rPr>
              <w:t>待整个工程施完毕后，应及时清理场地废弃物，禁止遗留在施工场地。</w:t>
            </w:r>
          </w:p>
          <w:p w14:paraId="68CD1BB5">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2、废水</w:t>
            </w:r>
          </w:p>
          <w:p w14:paraId="0A91866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lang w:eastAsia="zh-CN"/>
                <w14:textFill>
                  <w14:solidFill>
                    <w14:schemeClr w14:val="tx1"/>
                  </w14:solidFill>
                </w14:textFill>
              </w:rPr>
              <w:t>无施工废水产生</w:t>
            </w:r>
            <w:r>
              <w:rPr>
                <w:rFonts w:hint="eastAsia"/>
                <w:color w:val="000000" w:themeColor="text1"/>
                <w:sz w:val="24"/>
                <w:szCs w:val="24"/>
                <w:highlight w:val="none"/>
                <w14:textFill>
                  <w14:solidFill>
                    <w14:schemeClr w14:val="tx1"/>
                  </w14:solidFill>
                </w14:textFill>
              </w:rPr>
              <w:t>。</w:t>
            </w:r>
          </w:p>
          <w:p w14:paraId="330E1860">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3、噪声</w:t>
            </w:r>
          </w:p>
          <w:p w14:paraId="082B9EEE">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施工噪声与本项目施工期噪声类似，建设单位应按本报告提出的施工期噪声防治要求进行降噪和管理，避免噪声扰民。</w:t>
            </w:r>
          </w:p>
          <w:p w14:paraId="277F897A">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4、固体废物</w:t>
            </w:r>
          </w:p>
          <w:p w14:paraId="143AAA99">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建筑垃圾：</w:t>
            </w:r>
            <w:r>
              <w:rPr>
                <w:rFonts w:hint="eastAsia"/>
                <w:color w:val="000000" w:themeColor="text1"/>
                <w:sz w:val="24"/>
                <w:highlight w:val="none"/>
                <w14:textFill>
                  <w14:solidFill>
                    <w14:schemeClr w14:val="tx1"/>
                  </w14:solidFill>
                </w14:textFill>
              </w:rPr>
              <w:t>拆除封闭生产车间及场地恢复施工时，均会产生一定量的建筑垃圾，建设单位应定点收集建筑垃圾，统一清运至指定的建筑垃圾场。</w:t>
            </w:r>
          </w:p>
          <w:p w14:paraId="4C6AE64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5、生态恢复</w:t>
            </w:r>
          </w:p>
          <w:p w14:paraId="70C497E8">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color w:val="000000" w:themeColor="text1"/>
                <w:sz w:val="24"/>
                <w:szCs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拆除建构筑物期间，由于地表裸露，可能因降雨引起水土流失，建设单位应在此期间注意天气变化，在大风天气及降雨前对裸露地表进行遮盖，避免扬尘及水土流失，同时尽量缩短工期。</w:t>
            </w:r>
          </w:p>
          <w:p w14:paraId="0A69AA47">
            <w:pPr>
              <w:pStyle w:val="10"/>
              <w:keepNext w:val="0"/>
              <w:keepLines w:val="0"/>
              <w:pageBreakBefore w:val="0"/>
              <w:widowControl w:val="0"/>
              <w:kinsoku/>
              <w:wordWrap/>
              <w:overflowPunct/>
              <w:topLinePunct w:val="0"/>
              <w:autoSpaceDE/>
              <w:autoSpaceDN/>
              <w:bidi w:val="0"/>
              <w:adjustRightInd w:val="0"/>
              <w:snapToGrid w:val="0"/>
              <w:spacing w:after="0" w:line="360" w:lineRule="auto"/>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DF2B655">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143DCC92">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648CC5F4">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1487552C">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34336951">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0CCA47C4">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19411FD7">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4E53CF99">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18D7DA3">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5BAB5F19">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0855CD1C">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F6E2852">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269D3D70">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181BCFE4">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80F49D1">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73EDF14E">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235F2575">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rFonts w:hint="eastAsia"/>
                <w:color w:val="000000" w:themeColor="text1"/>
                <w:sz w:val="24"/>
                <w:highlight w:val="none"/>
                <w14:textFill>
                  <w14:solidFill>
                    <w14:schemeClr w14:val="tx1"/>
                  </w14:solidFill>
                </w14:textFill>
              </w:rPr>
            </w:pPr>
          </w:p>
          <w:p w14:paraId="54905027">
            <w:pPr>
              <w:pStyle w:val="10"/>
              <w:keepNext w:val="0"/>
              <w:keepLines w:val="0"/>
              <w:pageBreakBefore w:val="0"/>
              <w:widowControl w:val="0"/>
              <w:kinsoku/>
              <w:wordWrap/>
              <w:overflowPunct/>
              <w:topLinePunct w:val="0"/>
              <w:autoSpaceDE/>
              <w:autoSpaceDN/>
              <w:bidi w:val="0"/>
              <w:adjustRightInd/>
              <w:snapToGrid/>
              <w:spacing w:after="0" w:line="496" w:lineRule="exact"/>
              <w:ind w:left="0" w:leftChars="0" w:right="0" w:rightChars="0" w:firstLine="480" w:firstLineChars="200"/>
              <w:textAlignment w:val="auto"/>
              <w:rPr>
                <w:color w:val="000000" w:themeColor="text1"/>
                <w:sz w:val="24"/>
                <w:szCs w:val="24"/>
                <w:highlight w:val="none"/>
                <w14:textFill>
                  <w14:solidFill>
                    <w14:schemeClr w14:val="tx1"/>
                  </w14:solidFill>
                </w14:textFill>
              </w:rPr>
            </w:pPr>
          </w:p>
        </w:tc>
      </w:tr>
    </w:tbl>
    <w:p w14:paraId="078857E3">
      <w:pPr>
        <w:rPr>
          <w:color w:val="000000" w:themeColor="text1"/>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3B73EC36">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17" w:name="_Toc80643345"/>
      <w:r>
        <w:rPr>
          <w:rFonts w:ascii="Times New Roman" w:hAnsi="Times New Roman" w:eastAsia="宋体"/>
          <w:b/>
          <w:bCs/>
          <w:snapToGrid w:val="0"/>
          <w:color w:val="000000" w:themeColor="text1"/>
          <w:kern w:val="0"/>
          <w:sz w:val="36"/>
          <w:szCs w:val="32"/>
          <w:highlight w:val="none"/>
          <w14:textFill>
            <w14:solidFill>
              <w14:schemeClr w14:val="tx1"/>
            </w14:solidFill>
          </w14:textFill>
        </w:rPr>
        <w:t>五、</w:t>
      </w:r>
      <w:bookmarkEnd w:id="17"/>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环境保护措施监督检查清单</w:t>
      </w:r>
    </w:p>
    <w:tbl>
      <w:tblPr>
        <w:tblStyle w:val="2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285"/>
        <w:gridCol w:w="525"/>
        <w:gridCol w:w="805"/>
        <w:gridCol w:w="806"/>
        <w:gridCol w:w="1185"/>
        <w:gridCol w:w="2371"/>
        <w:gridCol w:w="2031"/>
      </w:tblGrid>
      <w:tr w14:paraId="3EF14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242F11AF">
            <w:pPr>
              <w:keepNext w:val="0"/>
              <w:keepLines w:val="0"/>
              <w:pageBreakBefore w:val="0"/>
              <w:kinsoku/>
              <w:overflowPunct/>
              <w:topLinePunct w:val="0"/>
              <w:autoSpaceDE/>
              <w:autoSpaceDN/>
              <w:bidi w:val="0"/>
              <w:adjustRightInd w:val="0"/>
              <w:snapToGrid w:val="0"/>
              <w:spacing w:line="240" w:lineRule="auto"/>
              <w:ind w:left="0" w:leftChars="0" w:firstLine="0" w:firstLineChars="0"/>
              <w:jc w:val="right"/>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要素</w:t>
            </w:r>
          </w:p>
          <w:p w14:paraId="0F6B45C1">
            <w:pPr>
              <w:keepNext w:val="0"/>
              <w:keepLines w:val="0"/>
              <w:pageBreakBefore w:val="0"/>
              <w:kinsoku/>
              <w:overflowPunct/>
              <w:topLinePunct w:val="0"/>
              <w:autoSpaceDE/>
              <w:autoSpaceDN/>
              <w:bidi w:val="0"/>
              <w:adjustRightInd w:val="0"/>
              <w:snapToGrid w:val="0"/>
              <w:spacing w:line="240" w:lineRule="auto"/>
              <w:ind w:left="0" w:leftChars="0" w:firstLine="0" w:firstLineChars="0"/>
              <w:jc w:val="left"/>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内容</w:t>
            </w:r>
          </w:p>
        </w:tc>
        <w:tc>
          <w:tcPr>
            <w:tcW w:w="1185" w:type="pct"/>
            <w:gridSpan w:val="3"/>
            <w:tcBorders>
              <w:tl2br w:val="nil"/>
              <w:tr2bl w:val="nil"/>
            </w:tcBorders>
            <w:vAlign w:val="center"/>
          </w:tcPr>
          <w:p w14:paraId="233B72A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排放口（编号、名称）/排放源</w:t>
            </w:r>
          </w:p>
        </w:tc>
        <w:tc>
          <w:tcPr>
            <w:tcW w:w="657" w:type="pct"/>
            <w:tcBorders>
              <w:tl2br w:val="nil"/>
              <w:tr2bl w:val="nil"/>
            </w:tcBorders>
            <w:vAlign w:val="center"/>
          </w:tcPr>
          <w:p w14:paraId="076602B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污染物</w:t>
            </w:r>
          </w:p>
          <w:p w14:paraId="676C20B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项目</w:t>
            </w:r>
          </w:p>
        </w:tc>
        <w:tc>
          <w:tcPr>
            <w:tcW w:w="1316" w:type="pct"/>
            <w:tcBorders>
              <w:tl2br w:val="nil"/>
              <w:tr2bl w:val="nil"/>
            </w:tcBorders>
            <w:vAlign w:val="center"/>
          </w:tcPr>
          <w:p w14:paraId="2B23C1BA">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防治措施</w:t>
            </w:r>
          </w:p>
        </w:tc>
        <w:tc>
          <w:tcPr>
            <w:tcW w:w="1127" w:type="pct"/>
            <w:tcBorders>
              <w:tl2br w:val="nil"/>
              <w:tr2bl w:val="nil"/>
            </w:tcBorders>
            <w:vAlign w:val="center"/>
          </w:tcPr>
          <w:p w14:paraId="57604B5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执行标准</w:t>
            </w:r>
          </w:p>
        </w:tc>
      </w:tr>
      <w:tr w14:paraId="2933A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restart"/>
            <w:tcBorders>
              <w:tl2br w:val="nil"/>
              <w:tr2bl w:val="nil"/>
            </w:tcBorders>
            <w:vAlign w:val="center"/>
          </w:tcPr>
          <w:p w14:paraId="04D4E4C5">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大气环境</w:t>
            </w:r>
          </w:p>
        </w:tc>
        <w:tc>
          <w:tcPr>
            <w:tcW w:w="291" w:type="pct"/>
            <w:vMerge w:val="restart"/>
            <w:tcBorders>
              <w:tl2br w:val="nil"/>
              <w:tr2bl w:val="nil"/>
            </w:tcBorders>
            <w:vAlign w:val="center"/>
          </w:tcPr>
          <w:p w14:paraId="1E0A7EA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施工期</w:t>
            </w:r>
          </w:p>
        </w:tc>
        <w:tc>
          <w:tcPr>
            <w:tcW w:w="894" w:type="pct"/>
            <w:gridSpan w:val="2"/>
            <w:tcBorders>
              <w:tl2br w:val="nil"/>
              <w:tr2bl w:val="nil"/>
            </w:tcBorders>
            <w:vAlign w:val="center"/>
          </w:tcPr>
          <w:p w14:paraId="10B0FDA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土建施工</w:t>
            </w:r>
          </w:p>
        </w:tc>
        <w:tc>
          <w:tcPr>
            <w:tcW w:w="657" w:type="pct"/>
            <w:tcBorders>
              <w:tl2br w:val="nil"/>
              <w:tr2bl w:val="nil"/>
            </w:tcBorders>
            <w:vAlign w:val="center"/>
          </w:tcPr>
          <w:p w14:paraId="6A3A98E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扬尘</w:t>
            </w:r>
          </w:p>
        </w:tc>
        <w:tc>
          <w:tcPr>
            <w:tcW w:w="1316" w:type="pct"/>
            <w:tcBorders>
              <w:tl2br w:val="nil"/>
              <w:tr2bl w:val="nil"/>
            </w:tcBorders>
            <w:vAlign w:val="center"/>
          </w:tcPr>
          <w:p w14:paraId="16084203">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洒水降尘</w:t>
            </w:r>
            <w:r>
              <w:rPr>
                <w:rFonts w:hint="eastAsia" w:ascii="Times New Roman" w:hAnsi="Times New Roman" w:eastAsia="宋体"/>
                <w:bCs/>
                <w:color w:val="000000" w:themeColor="text1"/>
                <w:sz w:val="24"/>
                <w:szCs w:val="24"/>
                <w:highlight w:val="none"/>
                <w14:textFill>
                  <w14:solidFill>
                    <w14:schemeClr w14:val="tx1"/>
                  </w14:solidFill>
                </w14:textFill>
              </w:rPr>
              <w:t>、设置围挡等</w:t>
            </w:r>
          </w:p>
        </w:tc>
        <w:tc>
          <w:tcPr>
            <w:tcW w:w="1127" w:type="pct"/>
            <w:vMerge w:val="restart"/>
            <w:tcBorders>
              <w:tl2br w:val="nil"/>
              <w:tr2bl w:val="nil"/>
            </w:tcBorders>
            <w:vAlign w:val="center"/>
          </w:tcPr>
          <w:p w14:paraId="1DA9A9A3">
            <w:pPr>
              <w:keepNext w:val="0"/>
              <w:keepLines w:val="0"/>
              <w:pageBreakBefore w:val="0"/>
              <w:kinsoku/>
              <w:wordWrap w:val="0"/>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《大气污染物综合排放标准》（GB16297-1996）表2中规定的无组织监控浓度排放限值</w:t>
            </w:r>
          </w:p>
        </w:tc>
      </w:tr>
      <w:tr w14:paraId="781B7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5360DC7F">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BC24459">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15C3527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运输</w:t>
            </w:r>
          </w:p>
        </w:tc>
        <w:tc>
          <w:tcPr>
            <w:tcW w:w="657" w:type="pct"/>
            <w:tcBorders>
              <w:tl2br w:val="nil"/>
              <w:tr2bl w:val="nil"/>
            </w:tcBorders>
            <w:vAlign w:val="center"/>
          </w:tcPr>
          <w:p w14:paraId="658F5CD7">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CO、NO</w:t>
            </w:r>
            <w:r>
              <w:rPr>
                <w:rFonts w:hint="eastAsia" w:ascii="Times New Roman" w:hAnsi="Times New Roman" w:eastAsia="宋体"/>
                <w:bCs/>
                <w:color w:val="000000" w:themeColor="text1"/>
                <w:sz w:val="24"/>
                <w:szCs w:val="24"/>
                <w:highlight w:val="none"/>
                <w:vertAlign w:val="subscript"/>
                <w14:textFill>
                  <w14:solidFill>
                    <w14:schemeClr w14:val="tx1"/>
                  </w14:solidFill>
                </w14:textFill>
              </w:rPr>
              <w:t>X</w:t>
            </w:r>
            <w:r>
              <w:rPr>
                <w:rFonts w:hint="eastAsia" w:ascii="Times New Roman" w:hAnsi="Times New Roman" w:eastAsia="宋体"/>
                <w:bCs/>
                <w:color w:val="000000" w:themeColor="text1"/>
                <w:sz w:val="24"/>
                <w:szCs w:val="24"/>
                <w:highlight w:val="none"/>
                <w14:textFill>
                  <w14:solidFill>
                    <w14:schemeClr w14:val="tx1"/>
                  </w14:solidFill>
                </w14:textFill>
              </w:rPr>
              <w:t>、THC</w:t>
            </w:r>
          </w:p>
        </w:tc>
        <w:tc>
          <w:tcPr>
            <w:tcW w:w="1316" w:type="pct"/>
            <w:tcBorders>
              <w:tl2br w:val="nil"/>
              <w:tr2bl w:val="nil"/>
            </w:tcBorders>
            <w:vAlign w:val="center"/>
          </w:tcPr>
          <w:p w14:paraId="3FAEF43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加强管理、减少车辆怠速运行</w:t>
            </w:r>
          </w:p>
        </w:tc>
        <w:tc>
          <w:tcPr>
            <w:tcW w:w="1127" w:type="pct"/>
            <w:vMerge w:val="continue"/>
            <w:tcBorders>
              <w:tl2br w:val="nil"/>
              <w:tr2bl w:val="nil"/>
            </w:tcBorders>
            <w:vAlign w:val="center"/>
          </w:tcPr>
          <w:p w14:paraId="6E094944">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r>
      <w:tr w14:paraId="789F4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58E84B8B">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restart"/>
            <w:tcBorders>
              <w:tl2br w:val="nil"/>
              <w:tr2bl w:val="nil"/>
            </w:tcBorders>
            <w:vAlign w:val="center"/>
          </w:tcPr>
          <w:p w14:paraId="0A6774A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营运期</w:t>
            </w:r>
          </w:p>
        </w:tc>
        <w:tc>
          <w:tcPr>
            <w:tcW w:w="894" w:type="pct"/>
            <w:gridSpan w:val="2"/>
            <w:tcBorders>
              <w:tl2br w:val="nil"/>
              <w:tr2bl w:val="nil"/>
            </w:tcBorders>
            <w:vAlign w:val="center"/>
          </w:tcPr>
          <w:p w14:paraId="2D230BB0">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原料装卸</w:t>
            </w:r>
          </w:p>
        </w:tc>
        <w:tc>
          <w:tcPr>
            <w:tcW w:w="657" w:type="pct"/>
            <w:tcBorders>
              <w:tl2br w:val="nil"/>
              <w:tr2bl w:val="nil"/>
            </w:tcBorders>
            <w:vAlign w:val="center"/>
          </w:tcPr>
          <w:p w14:paraId="6D794394">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71EB4AA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bidi="ar"/>
                <w14:textFill>
                  <w14:solidFill>
                    <w14:schemeClr w14:val="tx1"/>
                  </w14:solidFill>
                </w14:textFill>
              </w:rPr>
              <w:t>料仓、配料仓（斗）均采用三面围挡+彩钢顶棚的形式设置，并在顶部设置有喷雾除尘装置（每个料仓设置3个喷雾点）</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+3</w:t>
            </w:r>
            <w:r>
              <w:rPr>
                <w:rFonts w:hint="eastAsia" w:ascii="Times New Roman" w:hAnsi="Times New Roman" w:eastAsia="宋体"/>
                <w:color w:val="000000" w:themeColor="text1"/>
                <w:sz w:val="24"/>
                <w:szCs w:val="24"/>
                <w:highlight w:val="none"/>
                <w:lang w:bidi="ar"/>
                <w14:textFill>
                  <w14:solidFill>
                    <w14:schemeClr w14:val="tx1"/>
                  </w14:solidFill>
                </w14:textFill>
              </w:rPr>
              <w:t>台移动式除尘雾炮机。（</w:t>
            </w:r>
            <w:r>
              <w:rPr>
                <w:rFonts w:hint="eastAsia" w:ascii="Times New Roman" w:hAnsi="Times New Roman" w:eastAsia="宋体"/>
                <w:color w:val="000000" w:themeColor="text1"/>
                <w:sz w:val="24"/>
                <w:szCs w:val="24"/>
                <w:highlight w:val="none"/>
                <w:lang w:eastAsia="zh-CN" w:bidi="ar"/>
                <w14:textFill>
                  <w14:solidFill>
                    <w14:schemeClr w14:val="tx1"/>
                  </w14:solidFill>
                </w14:textFill>
              </w:rPr>
              <w:t>综合</w:t>
            </w:r>
            <w:r>
              <w:rPr>
                <w:rFonts w:hint="eastAsia" w:ascii="Times New Roman" w:hAnsi="Times New Roman" w:eastAsia="宋体"/>
                <w:color w:val="000000" w:themeColor="text1"/>
                <w:sz w:val="24"/>
                <w:szCs w:val="24"/>
                <w:highlight w:val="none"/>
                <w:lang w:bidi="ar"/>
                <w14:textFill>
                  <w14:solidFill>
                    <w14:schemeClr w14:val="tx1"/>
                  </w14:solidFill>
                </w14:textFill>
              </w:rPr>
              <w:t>除尘效率</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99.6056</w:t>
            </w:r>
            <w:r>
              <w:rPr>
                <w:rFonts w:hint="eastAsia" w:ascii="Times New Roman" w:hAnsi="Times New Roman" w:eastAsia="宋体"/>
                <w:color w:val="000000" w:themeColor="text1"/>
                <w:sz w:val="24"/>
                <w:szCs w:val="24"/>
                <w:highlight w:val="none"/>
                <w:lang w:bidi="ar"/>
                <w14:textFill>
                  <w14:solidFill>
                    <w14:schemeClr w14:val="tx1"/>
                  </w14:solidFill>
                </w14:textFill>
              </w:rPr>
              <w:t>%）</w:t>
            </w:r>
          </w:p>
        </w:tc>
        <w:tc>
          <w:tcPr>
            <w:tcW w:w="1127" w:type="pct"/>
            <w:vMerge w:val="restart"/>
            <w:tcBorders>
              <w:tl2br w:val="nil"/>
              <w:tr2bl w:val="nil"/>
            </w:tcBorders>
            <w:vAlign w:val="center"/>
          </w:tcPr>
          <w:p w14:paraId="5A76E9D6">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《四川省水泥工业大气污染物排放标准》（DB51 2864 -2021）中大气污染物排放限值</w:t>
            </w:r>
          </w:p>
        </w:tc>
      </w:tr>
      <w:tr w14:paraId="1AF81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3A2F323A">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0764638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0772A7E7">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骨料输送</w:t>
            </w:r>
          </w:p>
        </w:tc>
        <w:tc>
          <w:tcPr>
            <w:tcW w:w="657" w:type="pct"/>
            <w:tcBorders>
              <w:tl2br w:val="nil"/>
              <w:tr2bl w:val="nil"/>
            </w:tcBorders>
            <w:vAlign w:val="center"/>
          </w:tcPr>
          <w:p w14:paraId="013BD3D1">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1575267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lang w:bidi="ar"/>
                <w14:textFill>
                  <w14:solidFill>
                    <w14:schemeClr w14:val="tx1"/>
                  </w14:solidFill>
                </w14:textFill>
              </w:rPr>
              <w:t>密闭的输送廊道，并在皮带输送进料口设置喷淋抑尘装置</w:t>
            </w:r>
          </w:p>
        </w:tc>
        <w:tc>
          <w:tcPr>
            <w:tcW w:w="1127" w:type="pct"/>
            <w:vMerge w:val="continue"/>
            <w:tcBorders>
              <w:tl2br w:val="nil"/>
              <w:tr2bl w:val="nil"/>
            </w:tcBorders>
            <w:vAlign w:val="center"/>
          </w:tcPr>
          <w:p w14:paraId="7E9F475D">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kern w:val="0"/>
                <w:sz w:val="24"/>
                <w:szCs w:val="24"/>
                <w:highlight w:val="none"/>
                <w14:textFill>
                  <w14:solidFill>
                    <w14:schemeClr w14:val="tx1"/>
                  </w14:solidFill>
                </w14:textFill>
              </w:rPr>
            </w:pPr>
          </w:p>
        </w:tc>
      </w:tr>
      <w:tr w14:paraId="4A40C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20EB95B8">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15D0E9A">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45528FCC">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储料罐</w:t>
            </w:r>
          </w:p>
        </w:tc>
        <w:tc>
          <w:tcPr>
            <w:tcW w:w="657" w:type="pct"/>
            <w:tcBorders>
              <w:tl2br w:val="nil"/>
              <w:tr2bl w:val="nil"/>
            </w:tcBorders>
            <w:vAlign w:val="center"/>
          </w:tcPr>
          <w:p w14:paraId="28A9E549">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55ED602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bidi="ar"/>
                <w14:textFill>
                  <w14:solidFill>
                    <w14:schemeClr w14:val="tx1"/>
                  </w14:solidFill>
                </w14:textFill>
              </w:rPr>
              <w:t>筒仓放空口处安装自动衔接输料口</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w:t>
            </w:r>
            <w:r>
              <w:rPr>
                <w:rFonts w:hint="eastAsia" w:ascii="Times New Roman" w:hAnsi="Times New Roman" w:eastAsia="宋体"/>
                <w:color w:val="000000" w:themeColor="text1"/>
                <w:sz w:val="24"/>
                <w:szCs w:val="24"/>
                <w:highlight w:val="none"/>
                <w:lang w:bidi="ar"/>
                <w14:textFill>
                  <w14:solidFill>
                    <w14:schemeClr w14:val="tx1"/>
                  </w14:solidFill>
                </w14:textFill>
              </w:rPr>
              <w:t>仓顶除尘器（处理效率99.5%）处理后无组织排放</w:t>
            </w:r>
          </w:p>
        </w:tc>
        <w:tc>
          <w:tcPr>
            <w:tcW w:w="1127" w:type="pct"/>
            <w:vMerge w:val="continue"/>
            <w:tcBorders>
              <w:tl2br w:val="nil"/>
              <w:tr2bl w:val="nil"/>
            </w:tcBorders>
            <w:vAlign w:val="center"/>
          </w:tcPr>
          <w:p w14:paraId="79B9BBAC">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kern w:val="0"/>
                <w:sz w:val="24"/>
                <w:szCs w:val="24"/>
                <w:highlight w:val="none"/>
                <w14:textFill>
                  <w14:solidFill>
                    <w14:schemeClr w14:val="tx1"/>
                  </w14:solidFill>
                </w14:textFill>
              </w:rPr>
            </w:pPr>
          </w:p>
        </w:tc>
      </w:tr>
      <w:tr w14:paraId="61381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713" w:type="pct"/>
            <w:vMerge w:val="continue"/>
            <w:tcBorders>
              <w:tl2br w:val="nil"/>
              <w:tr2bl w:val="nil"/>
            </w:tcBorders>
            <w:vAlign w:val="center"/>
          </w:tcPr>
          <w:p w14:paraId="7803E430">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2BD40B6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43E807B2">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搅拌</w:t>
            </w:r>
          </w:p>
        </w:tc>
        <w:tc>
          <w:tcPr>
            <w:tcW w:w="657" w:type="pct"/>
            <w:tcBorders>
              <w:tl2br w:val="nil"/>
              <w:tr2bl w:val="nil"/>
            </w:tcBorders>
            <w:vAlign w:val="center"/>
          </w:tcPr>
          <w:p w14:paraId="1076B743">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27B504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lang w:bidi="ar"/>
                <w14:textFill>
                  <w14:solidFill>
                    <w14:schemeClr w14:val="tx1"/>
                  </w14:solidFill>
                </w14:textFill>
              </w:rPr>
              <w:t>密闭搅拌机，且位于密闭厂房内，搅拌系统配备一台</w:t>
            </w:r>
            <w:r>
              <w:rPr>
                <w:rFonts w:hint="eastAsia" w:ascii="Times New Roman" w:hAnsi="Times New Roman" w:eastAsia="宋体"/>
                <w:color w:val="000000" w:themeColor="text1"/>
                <w:sz w:val="24"/>
                <w:szCs w:val="24"/>
                <w:highlight w:val="none"/>
                <w:lang w:bidi="ar"/>
                <w14:textFill>
                  <w14:solidFill>
                    <w14:schemeClr w14:val="tx1"/>
                  </w14:solidFill>
                </w14:textFill>
              </w:rPr>
              <w:t>布袋</w:t>
            </w:r>
            <w:r>
              <w:rPr>
                <w:rFonts w:ascii="Times New Roman" w:hAnsi="Times New Roman" w:eastAsia="宋体"/>
                <w:color w:val="000000" w:themeColor="text1"/>
                <w:sz w:val="24"/>
                <w:szCs w:val="24"/>
                <w:highlight w:val="none"/>
                <w:lang w:bidi="ar"/>
                <w14:textFill>
                  <w14:solidFill>
                    <w14:schemeClr w14:val="tx1"/>
                  </w14:solidFill>
                </w14:textFill>
              </w:rPr>
              <w:t>除尘器</w:t>
            </w:r>
            <w:r>
              <w:rPr>
                <w:rFonts w:hint="eastAsia" w:ascii="Times New Roman" w:hAnsi="Times New Roman" w:eastAsia="宋体"/>
                <w:color w:val="000000" w:themeColor="text1"/>
                <w:sz w:val="24"/>
                <w:szCs w:val="24"/>
                <w:highlight w:val="none"/>
                <w:lang w:bidi="ar"/>
                <w14:textFill>
                  <w14:solidFill>
                    <w14:schemeClr w14:val="tx1"/>
                  </w14:solidFill>
                </w14:textFill>
              </w:rPr>
              <w:t>（收集效率</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99</w:t>
            </w:r>
            <w:r>
              <w:rPr>
                <w:rFonts w:hint="eastAsia" w:ascii="Times New Roman" w:hAnsi="Times New Roman" w:eastAsia="宋体"/>
                <w:color w:val="000000" w:themeColor="text1"/>
                <w:sz w:val="24"/>
                <w:szCs w:val="24"/>
                <w:highlight w:val="none"/>
                <w:lang w:bidi="ar"/>
                <w14:textFill>
                  <w14:solidFill>
                    <w14:schemeClr w14:val="tx1"/>
                  </w14:solidFill>
                </w14:textFill>
              </w:rPr>
              <w:t>%，除尘效率9</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9</w:t>
            </w:r>
            <w:r>
              <w:rPr>
                <w:rFonts w:hint="eastAsia" w:ascii="Times New Roman" w:hAnsi="Times New Roman" w:eastAsia="宋体"/>
                <w:color w:val="000000" w:themeColor="text1"/>
                <w:sz w:val="24"/>
                <w:szCs w:val="24"/>
                <w:highlight w:val="none"/>
                <w:lang w:bidi="ar"/>
                <w14:textFill>
                  <w14:solidFill>
                    <w14:schemeClr w14:val="tx1"/>
                  </w14:solidFill>
                </w14:textFill>
              </w:rPr>
              <w:t>%），同时，在封闭式厂房</w:t>
            </w:r>
            <w:r>
              <w:rPr>
                <w:rFonts w:hint="eastAsia" w:ascii="Times New Roman" w:hAnsi="Times New Roman" w:eastAsia="宋体"/>
                <w:color w:val="000000" w:themeColor="text1"/>
                <w:sz w:val="24"/>
                <w:szCs w:val="24"/>
                <w:highlight w:val="none"/>
                <w:lang w:eastAsia="zh-CN" w:bidi="ar"/>
                <w14:textFill>
                  <w14:solidFill>
                    <w14:schemeClr w14:val="tx1"/>
                  </w14:solidFill>
                </w14:textFill>
              </w:rPr>
              <w:t>内安装</w:t>
            </w:r>
            <w:r>
              <w:rPr>
                <w:rFonts w:ascii="Times New Roman" w:hAnsi="Times New Roman" w:eastAsia="宋体"/>
                <w:color w:val="000000" w:themeColor="text1"/>
                <w:sz w:val="24"/>
                <w:szCs w:val="24"/>
                <w:highlight w:val="none"/>
                <w:lang w:bidi="ar"/>
                <w14:textFill>
                  <w14:solidFill>
                    <w14:schemeClr w14:val="tx1"/>
                  </w14:solidFill>
                </w14:textFill>
              </w:rPr>
              <w:t>喷淋装置</w:t>
            </w:r>
            <w:r>
              <w:rPr>
                <w:rFonts w:hint="eastAsia" w:ascii="Times New Roman" w:hAnsi="Times New Roman" w:eastAsia="宋体"/>
                <w:color w:val="000000" w:themeColor="text1"/>
                <w:sz w:val="24"/>
                <w:szCs w:val="24"/>
                <w:highlight w:val="none"/>
                <w:lang w:bidi="ar"/>
                <w14:textFill>
                  <w14:solidFill>
                    <w14:schemeClr w14:val="tx1"/>
                  </w14:solidFill>
                </w14:textFill>
              </w:rPr>
              <w:t>洒水降尘（除尘效率70%）</w:t>
            </w:r>
          </w:p>
        </w:tc>
        <w:tc>
          <w:tcPr>
            <w:tcW w:w="1127" w:type="pct"/>
            <w:vMerge w:val="continue"/>
            <w:tcBorders>
              <w:tl2br w:val="nil"/>
              <w:tr2bl w:val="nil"/>
            </w:tcBorders>
            <w:vAlign w:val="center"/>
          </w:tcPr>
          <w:p w14:paraId="5FB81A12">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textAlignment w:val="auto"/>
              <w:rPr>
                <w:rFonts w:ascii="Times New Roman" w:hAnsi="Times New Roman" w:eastAsia="宋体"/>
                <w:color w:val="000000" w:themeColor="text1"/>
                <w:kern w:val="0"/>
                <w:sz w:val="24"/>
                <w:szCs w:val="24"/>
                <w:highlight w:val="none"/>
                <w14:textFill>
                  <w14:solidFill>
                    <w14:schemeClr w14:val="tx1"/>
                  </w14:solidFill>
                </w14:textFill>
              </w:rPr>
            </w:pPr>
          </w:p>
        </w:tc>
      </w:tr>
      <w:tr w14:paraId="79958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176496C">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6674B7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1A4D2DC4">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汽车运输</w:t>
            </w:r>
          </w:p>
        </w:tc>
        <w:tc>
          <w:tcPr>
            <w:tcW w:w="657" w:type="pct"/>
            <w:tcBorders>
              <w:tl2br w:val="nil"/>
              <w:tr2bl w:val="nil"/>
            </w:tcBorders>
            <w:vAlign w:val="center"/>
          </w:tcPr>
          <w:p w14:paraId="40B71003">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TSP</w:t>
            </w:r>
          </w:p>
        </w:tc>
        <w:tc>
          <w:tcPr>
            <w:tcW w:w="1316" w:type="pct"/>
            <w:tcBorders>
              <w:tl2br w:val="nil"/>
              <w:tr2bl w:val="nil"/>
            </w:tcBorders>
            <w:vAlign w:val="center"/>
          </w:tcPr>
          <w:p w14:paraId="47C33D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eastAsia="zh-CN" w:bidi="ar"/>
                <w14:textFill>
                  <w14:solidFill>
                    <w14:schemeClr w14:val="tx1"/>
                  </w14:solidFill>
                </w14:textFill>
              </w:rPr>
              <w:t>地面硬化、运</w:t>
            </w:r>
            <w:r>
              <w:rPr>
                <w:rFonts w:hint="eastAsia" w:ascii="Times New Roman" w:hAnsi="Times New Roman" w:eastAsia="宋体"/>
                <w:color w:val="000000" w:themeColor="text1"/>
                <w:sz w:val="24"/>
                <w:szCs w:val="24"/>
                <w:highlight w:val="none"/>
                <w:lang w:bidi="ar"/>
                <w14:textFill>
                  <w14:solidFill>
                    <w14:schemeClr w14:val="tx1"/>
                  </w14:solidFill>
                </w14:textFill>
              </w:rPr>
              <w:t>输车辆采用篷布进行遮蔽处理，控制装载量，禁止裸露、冒尖或超载运输，洒水降尘（除尘效率</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85</w:t>
            </w:r>
            <w:r>
              <w:rPr>
                <w:rFonts w:hint="eastAsia" w:ascii="Times New Roman" w:hAnsi="Times New Roman" w:eastAsia="宋体"/>
                <w:color w:val="000000" w:themeColor="text1"/>
                <w:sz w:val="24"/>
                <w:szCs w:val="24"/>
                <w:highlight w:val="none"/>
                <w:lang w:bidi="ar"/>
                <w14:textFill>
                  <w14:solidFill>
                    <w14:schemeClr w14:val="tx1"/>
                  </w14:solidFill>
                </w14:textFill>
              </w:rPr>
              <w:t>%）</w:t>
            </w:r>
          </w:p>
        </w:tc>
        <w:tc>
          <w:tcPr>
            <w:tcW w:w="1127" w:type="pct"/>
            <w:tcBorders>
              <w:tl2br w:val="nil"/>
              <w:tr2bl w:val="nil"/>
            </w:tcBorders>
            <w:vAlign w:val="center"/>
          </w:tcPr>
          <w:p w14:paraId="17C240F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对环境影响不大</w:t>
            </w:r>
          </w:p>
        </w:tc>
      </w:tr>
      <w:tr w14:paraId="7F2D8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578BC2F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5DE789C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6DBD3F25">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焊接</w:t>
            </w:r>
          </w:p>
        </w:tc>
        <w:tc>
          <w:tcPr>
            <w:tcW w:w="657" w:type="pct"/>
            <w:tcBorders>
              <w:tl2br w:val="nil"/>
              <w:tr2bl w:val="nil"/>
            </w:tcBorders>
            <w:vAlign w:val="center"/>
          </w:tcPr>
          <w:p w14:paraId="100704BB">
            <w:pPr>
              <w:pStyle w:val="2"/>
              <w:keepNext w:val="0"/>
              <w:keepLines w:val="0"/>
              <w:pageBreakBefore w:val="0"/>
              <w:kinsoku/>
              <w:overflowPunct/>
              <w:topLinePunct w:val="0"/>
              <w:autoSpaceDE/>
              <w:autoSpaceDN/>
              <w:bidi w:val="0"/>
              <w:adjustRightInd w:val="0"/>
              <w:snapToGrid w:val="0"/>
              <w:spacing w:after="0"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烟尘</w:t>
            </w:r>
          </w:p>
        </w:tc>
        <w:tc>
          <w:tcPr>
            <w:tcW w:w="1316" w:type="pct"/>
            <w:tcBorders>
              <w:tl2br w:val="nil"/>
              <w:tr2bl w:val="nil"/>
            </w:tcBorders>
            <w:vAlign w:val="center"/>
          </w:tcPr>
          <w:p w14:paraId="01D751B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2</w:t>
            </w:r>
            <w:r>
              <w:rPr>
                <w:rFonts w:hint="eastAsia" w:ascii="Times New Roman" w:hAnsi="Times New Roman" w:eastAsia="宋体"/>
                <w:color w:val="000000" w:themeColor="text1"/>
                <w:sz w:val="24"/>
                <w:szCs w:val="24"/>
                <w:highlight w:val="none"/>
                <w:lang w:bidi="ar"/>
                <w14:textFill>
                  <w14:solidFill>
                    <w14:schemeClr w14:val="tx1"/>
                  </w14:solidFill>
                </w14:textFill>
              </w:rPr>
              <w:t>台移动式焊烟净化器（收集效率80%，处理效率9</w:t>
            </w:r>
            <w:r>
              <w:rPr>
                <w:rFonts w:hint="eastAsia" w:ascii="Times New Roman" w:hAnsi="Times New Roman" w:eastAsia="宋体"/>
                <w:color w:val="000000" w:themeColor="text1"/>
                <w:sz w:val="24"/>
                <w:szCs w:val="24"/>
                <w:highlight w:val="none"/>
                <w:lang w:val="en-US" w:eastAsia="zh-CN" w:bidi="ar"/>
                <w14:textFill>
                  <w14:solidFill>
                    <w14:schemeClr w14:val="tx1"/>
                  </w14:solidFill>
                </w14:textFill>
              </w:rPr>
              <w:t>5</w:t>
            </w:r>
            <w:r>
              <w:rPr>
                <w:rFonts w:hint="eastAsia" w:ascii="Times New Roman" w:hAnsi="Times New Roman" w:eastAsia="宋体"/>
                <w:color w:val="000000" w:themeColor="text1"/>
                <w:sz w:val="24"/>
                <w:szCs w:val="24"/>
                <w:highlight w:val="none"/>
                <w:lang w:bidi="ar"/>
                <w14:textFill>
                  <w14:solidFill>
                    <w14:schemeClr w14:val="tx1"/>
                  </w14:solidFill>
                </w14:textFill>
              </w:rPr>
              <w:t>%）处理后排放</w:t>
            </w:r>
          </w:p>
        </w:tc>
        <w:tc>
          <w:tcPr>
            <w:tcW w:w="1127" w:type="pct"/>
            <w:tcBorders>
              <w:tl2br w:val="nil"/>
              <w:tr2bl w:val="nil"/>
            </w:tcBorders>
            <w:vAlign w:val="center"/>
          </w:tcPr>
          <w:p w14:paraId="776371F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《大气污染物综合排放标准》（GB16297-1996）无组织标准要求</w:t>
            </w:r>
            <w:r>
              <w:rPr>
                <w:rFonts w:ascii="Times New Roman" w:hAnsi="Times New Roman" w:eastAsia="宋体"/>
                <w:color w:val="000000" w:themeColor="text1"/>
                <w:kern w:val="0"/>
                <w:sz w:val="24"/>
                <w:szCs w:val="24"/>
                <w:highlight w:val="none"/>
                <w14:textFill>
                  <w14:solidFill>
                    <w14:schemeClr w14:val="tx1"/>
                  </w14:solidFill>
                </w14:textFill>
              </w:rPr>
              <w:t>，对项目周围环境空气影响较小</w:t>
            </w:r>
          </w:p>
        </w:tc>
      </w:tr>
      <w:tr w14:paraId="05319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2308298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53E3BDE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50957540">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食堂</w:t>
            </w:r>
          </w:p>
        </w:tc>
        <w:tc>
          <w:tcPr>
            <w:tcW w:w="657" w:type="pct"/>
            <w:tcBorders>
              <w:tl2br w:val="nil"/>
              <w:tr2bl w:val="nil"/>
            </w:tcBorders>
            <w:vAlign w:val="center"/>
          </w:tcPr>
          <w:p w14:paraId="1896CB9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
                <w14:textFill>
                  <w14:solidFill>
                    <w14:schemeClr w14:val="tx1"/>
                  </w14:solidFill>
                </w14:textFill>
              </w:rPr>
              <w:t>油烟</w:t>
            </w:r>
          </w:p>
        </w:tc>
        <w:tc>
          <w:tcPr>
            <w:tcW w:w="1316" w:type="pct"/>
            <w:tcBorders>
              <w:tl2br w:val="nil"/>
              <w:tr2bl w:val="nil"/>
            </w:tcBorders>
            <w:vAlign w:val="center"/>
          </w:tcPr>
          <w:p w14:paraId="779D26A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color w:val="000000" w:themeColor="text1"/>
                <w:kern w:val="2"/>
                <w:sz w:val="24"/>
                <w:szCs w:val="24"/>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2"/>
                <w:sz w:val="24"/>
                <w:szCs w:val="24"/>
                <w:highlight w:val="none"/>
                <w:lang w:val="en-US" w:eastAsia="zh-CN" w:bidi="ar"/>
                <w14:textFill>
                  <w14:solidFill>
                    <w14:schemeClr w14:val="tx1"/>
                  </w14:solidFill>
                </w14:textFill>
              </w:rPr>
              <w:t>设置3台油烟净化器对油烟进行净化处理，净化效率约为75%，通过排烟管道引至屋顶高空排放</w:t>
            </w:r>
          </w:p>
        </w:tc>
        <w:tc>
          <w:tcPr>
            <w:tcW w:w="1127" w:type="pct"/>
            <w:tcBorders>
              <w:tl2br w:val="nil"/>
              <w:tr2bl w:val="nil"/>
            </w:tcBorders>
            <w:vAlign w:val="center"/>
          </w:tcPr>
          <w:p w14:paraId="66C343F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《饮食业油烟排放标准（试行）》（GB18483-2001）</w:t>
            </w:r>
          </w:p>
        </w:tc>
      </w:tr>
      <w:tr w14:paraId="4DC8D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78A3F42C">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C720C3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2C19CB13">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备用发电机</w:t>
            </w:r>
          </w:p>
        </w:tc>
        <w:tc>
          <w:tcPr>
            <w:tcW w:w="657" w:type="pct"/>
            <w:tcBorders>
              <w:tl2br w:val="nil"/>
              <w:tr2bl w:val="nil"/>
            </w:tcBorders>
            <w:vAlign w:val="center"/>
          </w:tcPr>
          <w:p w14:paraId="5C42A586">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烟尘</w:t>
            </w:r>
          </w:p>
        </w:tc>
        <w:tc>
          <w:tcPr>
            <w:tcW w:w="1316" w:type="pct"/>
            <w:tcBorders>
              <w:tl2br w:val="nil"/>
              <w:tr2bl w:val="nil"/>
            </w:tcBorders>
            <w:vAlign w:val="center"/>
          </w:tcPr>
          <w:p w14:paraId="196CFD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发电机自带消烟除尘装置</w:t>
            </w:r>
            <w:r>
              <w:rPr>
                <w:rFonts w:hint="eastAsia" w:ascii="Times New Roman" w:hAnsi="Times New Roman" w:eastAsia="宋体"/>
                <w:color w:val="000000" w:themeColor="text1"/>
                <w:sz w:val="24"/>
                <w:szCs w:val="24"/>
                <w:highlight w:val="none"/>
                <w:lang w:eastAsia="zh-CN"/>
                <w14:textFill>
                  <w14:solidFill>
                    <w14:schemeClr w14:val="tx1"/>
                  </w14:solidFill>
                </w14:textFill>
              </w:rPr>
              <w:t>净化</w:t>
            </w:r>
            <w:r>
              <w:rPr>
                <w:rFonts w:hint="eastAsia" w:ascii="Times New Roman" w:hAnsi="Times New Roman" w:eastAsia="宋体"/>
                <w:color w:val="000000" w:themeColor="text1"/>
                <w:sz w:val="24"/>
                <w:szCs w:val="24"/>
                <w:highlight w:val="none"/>
                <w14:textFill>
                  <w14:solidFill>
                    <w14:schemeClr w14:val="tx1"/>
                  </w14:solidFill>
                </w14:textFill>
              </w:rPr>
              <w:t>后经</w:t>
            </w:r>
            <w:r>
              <w:rPr>
                <w:rFonts w:hint="eastAsia" w:ascii="Times New Roman" w:hAnsi="Times New Roman" w:eastAsia="宋体"/>
                <w:color w:val="000000" w:themeColor="text1"/>
                <w:sz w:val="24"/>
                <w:szCs w:val="24"/>
                <w:highlight w:val="none"/>
                <w:lang w:eastAsia="zh-CN"/>
                <w14:textFill>
                  <w14:solidFill>
                    <w14:schemeClr w14:val="tx1"/>
                  </w14:solidFill>
                </w14:textFill>
              </w:rPr>
              <w:t>专用烟道</w:t>
            </w:r>
            <w:r>
              <w:rPr>
                <w:rFonts w:hint="eastAsia" w:ascii="Times New Roman" w:hAnsi="Times New Roman" w:eastAsia="宋体"/>
                <w:color w:val="000000" w:themeColor="text1"/>
                <w:sz w:val="24"/>
                <w:szCs w:val="24"/>
                <w:highlight w:val="none"/>
                <w14:textFill>
                  <w14:solidFill>
                    <w14:schemeClr w14:val="tx1"/>
                  </w14:solidFill>
                </w14:textFill>
              </w:rPr>
              <w:t>排放</w:t>
            </w:r>
          </w:p>
        </w:tc>
        <w:tc>
          <w:tcPr>
            <w:tcW w:w="1127" w:type="pct"/>
            <w:tcBorders>
              <w:tl2br w:val="nil"/>
              <w:tr2bl w:val="nil"/>
            </w:tcBorders>
            <w:vAlign w:val="center"/>
          </w:tcPr>
          <w:p w14:paraId="63DFCA6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对环境影响不大</w:t>
            </w:r>
          </w:p>
        </w:tc>
      </w:tr>
      <w:tr w14:paraId="0A816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297E4D8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24CFDA6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1AA16C9F">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汽车尾气</w:t>
            </w:r>
          </w:p>
        </w:tc>
        <w:tc>
          <w:tcPr>
            <w:tcW w:w="657" w:type="pct"/>
            <w:tcBorders>
              <w:tl2br w:val="nil"/>
              <w:tr2bl w:val="nil"/>
            </w:tcBorders>
            <w:vAlign w:val="center"/>
          </w:tcPr>
          <w:p w14:paraId="08802CE5">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CO、NOx</w:t>
            </w:r>
            <w:r>
              <w:rPr>
                <w:rFonts w:hint="eastAsia" w:ascii="Times New Roman" w:hAnsi="Times New Roman" w:eastAsia="宋体"/>
                <w:color w:val="000000" w:themeColor="text1"/>
                <w:sz w:val="24"/>
                <w:szCs w:val="24"/>
                <w:highlight w:val="none"/>
                <w14:textFill>
                  <w14:solidFill>
                    <w14:schemeClr w14:val="tx1"/>
                  </w14:solidFill>
                </w14:textFill>
              </w:rPr>
              <w:t>、HC等</w:t>
            </w:r>
          </w:p>
        </w:tc>
        <w:tc>
          <w:tcPr>
            <w:tcW w:w="1316" w:type="pct"/>
            <w:tcBorders>
              <w:tl2br w:val="nil"/>
              <w:tr2bl w:val="nil"/>
            </w:tcBorders>
            <w:vAlign w:val="center"/>
          </w:tcPr>
          <w:p w14:paraId="2464F2E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自然扩散</w:t>
            </w:r>
          </w:p>
        </w:tc>
        <w:tc>
          <w:tcPr>
            <w:tcW w:w="1127" w:type="pct"/>
            <w:tcBorders>
              <w:tl2br w:val="nil"/>
              <w:tr2bl w:val="nil"/>
            </w:tcBorders>
            <w:vAlign w:val="center"/>
          </w:tcPr>
          <w:p w14:paraId="4761CE0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kern w:val="0"/>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对环境影响不大</w:t>
            </w:r>
          </w:p>
        </w:tc>
      </w:tr>
      <w:tr w14:paraId="5D699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restart"/>
            <w:tcBorders>
              <w:tl2br w:val="nil"/>
              <w:tr2bl w:val="nil"/>
            </w:tcBorders>
            <w:vAlign w:val="center"/>
          </w:tcPr>
          <w:p w14:paraId="0C92379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地表水环境</w:t>
            </w:r>
          </w:p>
        </w:tc>
        <w:tc>
          <w:tcPr>
            <w:tcW w:w="291" w:type="pct"/>
            <w:vMerge w:val="restart"/>
            <w:tcBorders>
              <w:tl2br w:val="nil"/>
              <w:tr2bl w:val="nil"/>
            </w:tcBorders>
            <w:vAlign w:val="center"/>
          </w:tcPr>
          <w:p w14:paraId="665497B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施工期</w:t>
            </w:r>
          </w:p>
        </w:tc>
        <w:tc>
          <w:tcPr>
            <w:tcW w:w="894" w:type="pct"/>
            <w:gridSpan w:val="2"/>
            <w:tcBorders>
              <w:tl2br w:val="nil"/>
              <w:tr2bl w:val="nil"/>
            </w:tcBorders>
            <w:vAlign w:val="center"/>
          </w:tcPr>
          <w:p w14:paraId="125C0008">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生活污水</w:t>
            </w:r>
          </w:p>
        </w:tc>
        <w:tc>
          <w:tcPr>
            <w:tcW w:w="657" w:type="pct"/>
            <w:tcBorders>
              <w:tl2br w:val="nil"/>
              <w:tr2bl w:val="nil"/>
            </w:tcBorders>
            <w:vAlign w:val="center"/>
          </w:tcPr>
          <w:p w14:paraId="6A49D53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BOD</w:t>
            </w:r>
            <w:r>
              <w:rPr>
                <w:rFonts w:ascii="Times New Roman" w:hAnsi="Times New Roman" w:eastAsia="宋体"/>
                <w:bCs/>
                <w:color w:val="000000" w:themeColor="text1"/>
                <w:sz w:val="24"/>
                <w:szCs w:val="24"/>
                <w:highlight w:val="none"/>
                <w:vertAlign w:val="subscript"/>
                <w14:textFill>
                  <w14:solidFill>
                    <w14:schemeClr w14:val="tx1"/>
                  </w14:solidFill>
                </w14:textFill>
              </w:rPr>
              <w:t>5</w:t>
            </w:r>
            <w:r>
              <w:rPr>
                <w:rFonts w:ascii="Times New Roman" w:hAnsi="Times New Roman" w:eastAsia="宋体"/>
                <w:bCs/>
                <w:color w:val="000000" w:themeColor="text1"/>
                <w:sz w:val="24"/>
                <w:szCs w:val="24"/>
                <w:highlight w:val="none"/>
                <w14:textFill>
                  <w14:solidFill>
                    <w14:schemeClr w14:val="tx1"/>
                  </w14:solidFill>
                </w14:textFill>
              </w:rPr>
              <w:t>、COD</w:t>
            </w:r>
            <w:r>
              <w:rPr>
                <w:rFonts w:ascii="Times New Roman" w:hAnsi="Times New Roman" w:eastAsia="宋体"/>
                <w:bCs/>
                <w:color w:val="000000" w:themeColor="text1"/>
                <w:sz w:val="24"/>
                <w:szCs w:val="24"/>
                <w:highlight w:val="none"/>
                <w:vertAlign w:val="subscript"/>
                <w14:textFill>
                  <w14:solidFill>
                    <w14:schemeClr w14:val="tx1"/>
                  </w14:solidFill>
                </w14:textFill>
              </w:rPr>
              <w:t>cr</w:t>
            </w:r>
            <w:r>
              <w:rPr>
                <w:rFonts w:ascii="Times New Roman" w:hAnsi="Times New Roman" w:eastAsia="宋体"/>
                <w:bCs/>
                <w:color w:val="000000" w:themeColor="text1"/>
                <w:sz w:val="24"/>
                <w:szCs w:val="24"/>
                <w:highlight w:val="none"/>
                <w14:textFill>
                  <w14:solidFill>
                    <w14:schemeClr w14:val="tx1"/>
                  </w14:solidFill>
                </w14:textFill>
              </w:rPr>
              <w:t>、SS、氨氮、动植物油</w:t>
            </w:r>
            <w:r>
              <w:rPr>
                <w:rFonts w:hint="eastAsia" w:ascii="Times New Roman" w:hAnsi="Times New Roman" w:eastAsia="宋体"/>
                <w:bCs/>
                <w:color w:val="000000" w:themeColor="text1"/>
                <w:sz w:val="24"/>
                <w:szCs w:val="24"/>
                <w:highlight w:val="none"/>
                <w:lang w:eastAsia="zh-CN"/>
                <w14:textFill>
                  <w14:solidFill>
                    <w14:schemeClr w14:val="tx1"/>
                  </w14:solidFill>
                </w14:textFill>
              </w:rPr>
              <w:t>等</w:t>
            </w:r>
          </w:p>
        </w:tc>
        <w:tc>
          <w:tcPr>
            <w:tcW w:w="1316" w:type="pct"/>
            <w:tcBorders>
              <w:tl2br w:val="nil"/>
              <w:tr2bl w:val="nil"/>
            </w:tcBorders>
            <w:vAlign w:val="center"/>
          </w:tcPr>
          <w:p w14:paraId="3568BCE4">
            <w:pPr>
              <w:pStyle w:val="14"/>
              <w:keepNext w:val="0"/>
              <w:keepLines w:val="0"/>
              <w:pageBreakBefore w:val="0"/>
              <w:pBdr>
                <w:bottom w:val="none" w:color="auto" w:sz="0" w:space="0"/>
              </w:pBdr>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依托</w:t>
            </w:r>
            <w:r>
              <w:rPr>
                <w:rFonts w:hint="eastAsia" w:ascii="Times New Roman" w:hAnsi="Times New Roman" w:eastAsia="宋体"/>
                <w:color w:val="000000" w:themeColor="text1"/>
                <w:sz w:val="24"/>
                <w:szCs w:val="24"/>
                <w:highlight w:val="none"/>
                <w:lang w:eastAsia="zh-CN"/>
                <w14:textFill>
                  <w14:solidFill>
                    <w14:schemeClr w14:val="tx1"/>
                  </w14:solidFill>
                </w14:textFill>
              </w:rPr>
              <w:t>租赁民房已建污水处理设施</w:t>
            </w:r>
            <w:r>
              <w:rPr>
                <w:rFonts w:ascii="Times New Roman" w:hAnsi="Times New Roman" w:eastAsia="宋体"/>
                <w:color w:val="000000" w:themeColor="text1"/>
                <w:sz w:val="24"/>
                <w:szCs w:val="24"/>
                <w:highlight w:val="none"/>
                <w14:textFill>
                  <w14:solidFill>
                    <w14:schemeClr w14:val="tx1"/>
                  </w14:solidFill>
                </w14:textFill>
              </w:rPr>
              <w:t>处理</w:t>
            </w:r>
          </w:p>
        </w:tc>
        <w:tc>
          <w:tcPr>
            <w:tcW w:w="1127" w:type="pct"/>
            <w:vMerge w:val="restart"/>
            <w:tcBorders>
              <w:tl2br w:val="nil"/>
              <w:tr2bl w:val="nil"/>
            </w:tcBorders>
            <w:vAlign w:val="center"/>
          </w:tcPr>
          <w:p w14:paraId="51DC27F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不外排，对环境影响较小</w:t>
            </w:r>
          </w:p>
        </w:tc>
      </w:tr>
      <w:tr w14:paraId="64CD2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5CA594A7">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18992154">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7B67B560">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施工废水</w:t>
            </w:r>
          </w:p>
        </w:tc>
        <w:tc>
          <w:tcPr>
            <w:tcW w:w="657" w:type="pct"/>
            <w:tcBorders>
              <w:tl2br w:val="nil"/>
              <w:tr2bl w:val="nil"/>
            </w:tcBorders>
            <w:vAlign w:val="center"/>
          </w:tcPr>
          <w:p w14:paraId="104D7D1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SS、石油类</w:t>
            </w:r>
          </w:p>
        </w:tc>
        <w:tc>
          <w:tcPr>
            <w:tcW w:w="1316" w:type="pct"/>
            <w:tcBorders>
              <w:tl2br w:val="nil"/>
              <w:tr2bl w:val="nil"/>
            </w:tcBorders>
          </w:tcPr>
          <w:p w14:paraId="6826BA40">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隔油</w:t>
            </w:r>
            <w:r>
              <w:rPr>
                <w:rFonts w:ascii="Times New Roman" w:hAnsi="Times New Roman" w:eastAsia="宋体"/>
                <w:color w:val="000000" w:themeColor="text1"/>
                <w:sz w:val="24"/>
                <w:szCs w:val="24"/>
                <w:highlight w:val="none"/>
                <w14:textFill>
                  <w14:solidFill>
                    <w14:schemeClr w14:val="tx1"/>
                  </w14:solidFill>
                </w14:textFill>
              </w:rPr>
              <w:t>沉淀池</w:t>
            </w:r>
            <w:r>
              <w:rPr>
                <w:rFonts w:hint="eastAsia" w:ascii="Times New Roman" w:hAnsi="Times New Roman" w:eastAsia="宋体"/>
                <w:color w:val="000000" w:themeColor="text1"/>
                <w:sz w:val="24"/>
                <w:szCs w:val="24"/>
                <w:highlight w:val="none"/>
                <w14:textFill>
                  <w14:solidFill>
                    <w14:schemeClr w14:val="tx1"/>
                  </w14:solidFill>
                </w14:textFill>
              </w:rPr>
              <w:t>后回用于施工</w:t>
            </w:r>
          </w:p>
        </w:tc>
        <w:tc>
          <w:tcPr>
            <w:tcW w:w="1127" w:type="pct"/>
            <w:vMerge w:val="continue"/>
            <w:tcBorders>
              <w:tl2br w:val="nil"/>
              <w:tr2bl w:val="nil"/>
            </w:tcBorders>
            <w:vAlign w:val="center"/>
          </w:tcPr>
          <w:p w14:paraId="1CB14D3E">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r>
      <w:tr w14:paraId="41622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7E11FE9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restart"/>
            <w:tcBorders>
              <w:tl2br w:val="nil"/>
              <w:tr2bl w:val="nil"/>
            </w:tcBorders>
            <w:vAlign w:val="center"/>
          </w:tcPr>
          <w:p w14:paraId="1BAE4D1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营运期</w:t>
            </w:r>
          </w:p>
        </w:tc>
        <w:tc>
          <w:tcPr>
            <w:tcW w:w="894" w:type="pct"/>
            <w:gridSpan w:val="2"/>
            <w:tcBorders>
              <w:tl2br w:val="nil"/>
              <w:tr2bl w:val="nil"/>
            </w:tcBorders>
            <w:vAlign w:val="center"/>
          </w:tcPr>
          <w:p w14:paraId="503FD09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生活污水</w:t>
            </w:r>
          </w:p>
        </w:tc>
        <w:tc>
          <w:tcPr>
            <w:tcW w:w="657" w:type="pct"/>
            <w:tcBorders>
              <w:tl2br w:val="nil"/>
              <w:tr2bl w:val="nil"/>
            </w:tcBorders>
            <w:vAlign w:val="center"/>
          </w:tcPr>
          <w:p w14:paraId="6969C84B">
            <w:pPr>
              <w:keepNext w:val="0"/>
              <w:keepLines w:val="0"/>
              <w:pageBreakBefore w:val="0"/>
              <w:widowControl/>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COD、BOD</w:t>
            </w:r>
            <w:r>
              <w:rPr>
                <w:rFonts w:ascii="Times New Roman" w:hAnsi="Times New Roman" w:eastAsia="宋体"/>
                <w:color w:val="000000" w:themeColor="text1"/>
                <w:sz w:val="24"/>
                <w:szCs w:val="24"/>
                <w:highlight w:val="none"/>
                <w:vertAlign w:val="subscript"/>
                <w14:textFill>
                  <w14:solidFill>
                    <w14:schemeClr w14:val="tx1"/>
                  </w14:solidFill>
                </w14:textFill>
              </w:rPr>
              <w:t>5</w:t>
            </w:r>
            <w:r>
              <w:rPr>
                <w:rFonts w:ascii="Times New Roman" w:hAnsi="Times New Roman" w:eastAsia="宋体"/>
                <w:color w:val="000000" w:themeColor="text1"/>
                <w:sz w:val="24"/>
                <w:szCs w:val="24"/>
                <w:highlight w:val="none"/>
                <w14:textFill>
                  <w14:solidFill>
                    <w14:schemeClr w14:val="tx1"/>
                  </w14:solidFill>
                </w14:textFill>
              </w:rPr>
              <w:t>、SS、氨氮</w:t>
            </w:r>
          </w:p>
        </w:tc>
        <w:tc>
          <w:tcPr>
            <w:tcW w:w="1316" w:type="pct"/>
            <w:tcBorders>
              <w:tl2br w:val="nil"/>
              <w:tr2bl w:val="nil"/>
            </w:tcBorders>
            <w:vAlign w:val="center"/>
          </w:tcPr>
          <w:p w14:paraId="11A18F5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化粪池</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40</w:t>
            </w:r>
            <w:r>
              <w:rPr>
                <w:rFonts w:hint="eastAsia" w:ascii="Times New Roman" w:hAnsi="Times New Roman" w:eastAsia="宋体"/>
                <w:color w:val="000000" w:themeColor="text1"/>
                <w:sz w:val="24"/>
                <w:szCs w:val="24"/>
                <w:highlight w:val="none"/>
                <w:lang w:eastAsia="zh-CN"/>
                <w14:textFill>
                  <w14:solidFill>
                    <w14:schemeClr w14:val="tx1"/>
                  </w14:solidFill>
                </w14:textFill>
              </w:rPr>
              <w:t>m</w:t>
            </w:r>
            <w:r>
              <w:rPr>
                <w:rFonts w:hint="eastAsia" w:ascii="Times New Roman" w:hAnsi="Times New Roman" w:eastAsia="宋体"/>
                <w:color w:val="000000" w:themeColor="text1"/>
                <w:sz w:val="24"/>
                <w:szCs w:val="24"/>
                <w:highlight w:val="none"/>
                <w:vertAlign w:val="superscript"/>
                <w:lang w:eastAsia="zh-CN"/>
                <w14:textFill>
                  <w14:solidFill>
                    <w14:schemeClr w14:val="tx1"/>
                  </w14:solidFill>
                </w14:textFill>
              </w:rPr>
              <w:t>3</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处理</w:t>
            </w:r>
            <w:r>
              <w:rPr>
                <w:rFonts w:hint="eastAsia" w:ascii="Times New Roman" w:hAnsi="Times New Roman" w:eastAsia="宋体"/>
                <w:color w:val="000000" w:themeColor="text1"/>
                <w:sz w:val="24"/>
                <w:szCs w:val="24"/>
                <w:highlight w:val="none"/>
                <w:lang w:eastAsia="zh-CN"/>
                <w14:textFill>
                  <w14:solidFill>
                    <w14:schemeClr w14:val="tx1"/>
                  </w14:solidFill>
                </w14:textFill>
              </w:rPr>
              <w:t>后进入宝梵污水处理厂</w:t>
            </w:r>
          </w:p>
        </w:tc>
        <w:tc>
          <w:tcPr>
            <w:tcW w:w="1127" w:type="pct"/>
            <w:tcBorders>
              <w:tl2br w:val="nil"/>
              <w:tr2bl w:val="nil"/>
            </w:tcBorders>
            <w:vAlign w:val="center"/>
          </w:tcPr>
          <w:p w14:paraId="03BF618A">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不外排</w:t>
            </w:r>
          </w:p>
        </w:tc>
      </w:tr>
      <w:tr w14:paraId="51328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5A4EBCC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2F64232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6" w:type="pct"/>
            <w:vMerge w:val="restart"/>
            <w:tcBorders>
              <w:tl2br w:val="nil"/>
              <w:tr2bl w:val="nil"/>
            </w:tcBorders>
            <w:vAlign w:val="center"/>
          </w:tcPr>
          <w:p w14:paraId="62122B91">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生产</w:t>
            </w:r>
          </w:p>
          <w:p w14:paraId="5ECC8125">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废水</w:t>
            </w:r>
          </w:p>
        </w:tc>
        <w:tc>
          <w:tcPr>
            <w:tcW w:w="447" w:type="pct"/>
            <w:tcBorders>
              <w:tl2br w:val="nil"/>
              <w:tr2bl w:val="nil"/>
            </w:tcBorders>
            <w:vAlign w:val="center"/>
          </w:tcPr>
          <w:p w14:paraId="4AA44CC3">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搅拌机冲洗、地坪冲洗、洗砂废水</w:t>
            </w:r>
          </w:p>
        </w:tc>
        <w:tc>
          <w:tcPr>
            <w:tcW w:w="657" w:type="pct"/>
            <w:tcBorders>
              <w:tl2br w:val="nil"/>
              <w:tr2bl w:val="nil"/>
            </w:tcBorders>
            <w:vAlign w:val="center"/>
          </w:tcPr>
          <w:p w14:paraId="743FE0F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ascii="Times New Roman" w:hAnsi="Times New Roman" w:eastAsia="宋体"/>
                <w:bCs/>
                <w:color w:val="000000" w:themeColor="text1"/>
                <w:sz w:val="24"/>
                <w:szCs w:val="24"/>
                <w:highlight w:val="none"/>
                <w14:textFill>
                  <w14:solidFill>
                    <w14:schemeClr w14:val="tx1"/>
                  </w14:solidFill>
                </w14:textFill>
              </w:rPr>
              <w:t>SS</w:t>
            </w:r>
          </w:p>
        </w:tc>
        <w:tc>
          <w:tcPr>
            <w:tcW w:w="1316" w:type="pct"/>
            <w:tcBorders>
              <w:tl2br w:val="nil"/>
              <w:tr2bl w:val="nil"/>
            </w:tcBorders>
            <w:vAlign w:val="center"/>
          </w:tcPr>
          <w:p w14:paraId="57ECCCF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搅拌机冲洗、地坪冲洗废水</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等</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经收集后进入砂石分离器，污水收集池，进入搅拌池，同时添加絮凝沉淀剂（PAM、PAC），上清液回用，压滤泥饼收集后定期外运至G42线南充至成都段高速公路扩容工程弃渣场（经纬度：105.5903，30.6304）</w:t>
            </w:r>
            <w:r>
              <w:rPr>
                <w:rFonts w:hint="eastAsia" w:eastAsia="宋体"/>
                <w:color w:val="000000" w:themeColor="text1"/>
                <w:sz w:val="24"/>
                <w:szCs w:val="24"/>
                <w:highlight w:val="none"/>
                <w:lang w:eastAsia="zh-CN"/>
                <w14:textFill>
                  <w14:solidFill>
                    <w14:schemeClr w14:val="tx1"/>
                  </w14:solidFill>
                </w14:textFill>
              </w:rPr>
              <w:t>。</w:t>
            </w:r>
          </w:p>
        </w:tc>
        <w:tc>
          <w:tcPr>
            <w:tcW w:w="1127" w:type="pct"/>
            <w:tcBorders>
              <w:tl2br w:val="nil"/>
              <w:tr2bl w:val="nil"/>
            </w:tcBorders>
            <w:vAlign w:val="center"/>
          </w:tcPr>
          <w:p w14:paraId="25CB7DB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降尘</w:t>
            </w:r>
          </w:p>
        </w:tc>
      </w:tr>
      <w:tr w14:paraId="62AF5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7A31630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4459FAB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6" w:type="pct"/>
            <w:vMerge w:val="continue"/>
            <w:tcBorders>
              <w:tl2br w:val="nil"/>
              <w:tr2bl w:val="nil"/>
            </w:tcBorders>
            <w:vAlign w:val="center"/>
          </w:tcPr>
          <w:p w14:paraId="5735C806">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7" w:type="pct"/>
            <w:tcBorders>
              <w:tl2br w:val="nil"/>
              <w:tr2bl w:val="nil"/>
            </w:tcBorders>
            <w:vAlign w:val="center"/>
          </w:tcPr>
          <w:p w14:paraId="401B0B11">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养护废水及浓水</w:t>
            </w:r>
          </w:p>
        </w:tc>
        <w:tc>
          <w:tcPr>
            <w:tcW w:w="657" w:type="pct"/>
            <w:tcBorders>
              <w:tl2br w:val="nil"/>
              <w:tr2bl w:val="nil"/>
            </w:tcBorders>
            <w:vAlign w:val="center"/>
          </w:tcPr>
          <w:p w14:paraId="67DFA38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bCs/>
                <w:color w:val="000000" w:themeColor="text1"/>
                <w:sz w:val="24"/>
                <w:szCs w:val="24"/>
                <w:highlight w:val="none"/>
                <w:lang w:eastAsia="zh-CN"/>
                <w14:textFill>
                  <w14:solidFill>
                    <w14:schemeClr w14:val="tx1"/>
                  </w14:solidFill>
                </w14:textFill>
              </w:rPr>
              <w:t>全盐量、</w:t>
            </w:r>
            <w:r>
              <w:rPr>
                <w:rFonts w:hint="eastAsia" w:ascii="Times New Roman" w:hAnsi="Times New Roman" w:eastAsia="宋体"/>
                <w:bCs/>
                <w:color w:val="000000" w:themeColor="text1"/>
                <w:sz w:val="24"/>
                <w:szCs w:val="24"/>
                <w:highlight w:val="none"/>
                <w:lang w:val="en-US" w:eastAsia="zh-CN"/>
                <w14:textFill>
                  <w14:solidFill>
                    <w14:schemeClr w14:val="tx1"/>
                  </w14:solidFill>
                </w14:textFill>
              </w:rPr>
              <w:t>SS</w:t>
            </w:r>
          </w:p>
        </w:tc>
        <w:tc>
          <w:tcPr>
            <w:tcW w:w="1316" w:type="pct"/>
            <w:tcBorders>
              <w:tl2br w:val="nil"/>
              <w:tr2bl w:val="nil"/>
            </w:tcBorders>
            <w:vAlign w:val="center"/>
          </w:tcPr>
          <w:p w14:paraId="5A1FB7C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养护废水及浓水经沉淀池（</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10m</w:t>
            </w:r>
            <w:r>
              <w:rPr>
                <w:rFonts w:hint="eastAsia" w:ascii="Times New Roman" w:hAnsi="Times New Roman" w:eastAsia="宋体"/>
                <w:color w:val="000000" w:themeColor="text1"/>
                <w:kern w:val="0"/>
                <w:sz w:val="24"/>
                <w:szCs w:val="24"/>
                <w:highlight w:val="none"/>
                <w:vertAlign w:val="superscript"/>
                <w:lang w:val="en-US" w:eastAsia="zh-CN"/>
                <w14:textFill>
                  <w14:solidFill>
                    <w14:schemeClr w14:val="tx1"/>
                  </w14:solidFill>
                </w14:textFill>
              </w:rPr>
              <w:t>3</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）处理后回用于洒水降尘等</w:t>
            </w:r>
          </w:p>
        </w:tc>
        <w:tc>
          <w:tcPr>
            <w:tcW w:w="1127" w:type="pct"/>
            <w:tcBorders>
              <w:tl2br w:val="nil"/>
              <w:tr2bl w:val="nil"/>
            </w:tcBorders>
            <w:vAlign w:val="center"/>
          </w:tcPr>
          <w:p w14:paraId="20ABCB3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降尘</w:t>
            </w:r>
          </w:p>
        </w:tc>
      </w:tr>
      <w:tr w14:paraId="17E75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467E5F3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724FB941">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6" w:type="pct"/>
            <w:vMerge w:val="continue"/>
            <w:tcBorders>
              <w:tl2br w:val="nil"/>
              <w:tr2bl w:val="nil"/>
            </w:tcBorders>
            <w:vAlign w:val="center"/>
          </w:tcPr>
          <w:p w14:paraId="1F666934">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447" w:type="pct"/>
            <w:tcBorders>
              <w:tl2br w:val="nil"/>
              <w:tr2bl w:val="nil"/>
            </w:tcBorders>
            <w:vAlign w:val="center"/>
          </w:tcPr>
          <w:p w14:paraId="439FED7D">
            <w:pPr>
              <w:pStyle w:val="36"/>
              <w:keepNext w:val="0"/>
              <w:keepLines w:val="0"/>
              <w:pageBreakBefore w:val="0"/>
              <w:kinsoku/>
              <w:overflowPunct/>
              <w:topLinePunct w:val="0"/>
              <w:autoSpaceDE/>
              <w:autoSpaceDN/>
              <w:bidi w:val="0"/>
              <w:adjustRightInd w:val="0"/>
              <w:snapToGrid w:val="0"/>
              <w:spacing w:line="24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运输车辆冲洗废水</w:t>
            </w:r>
          </w:p>
        </w:tc>
        <w:tc>
          <w:tcPr>
            <w:tcW w:w="657" w:type="pct"/>
            <w:tcBorders>
              <w:tl2br w:val="nil"/>
              <w:tr2bl w:val="nil"/>
            </w:tcBorders>
            <w:vAlign w:val="center"/>
          </w:tcPr>
          <w:p w14:paraId="2D663AA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Cs/>
                <w:color w:val="000000" w:themeColor="text1"/>
                <w:sz w:val="24"/>
                <w:szCs w:val="24"/>
                <w:highlight w:val="none"/>
                <w14:textFill>
                  <w14:solidFill>
                    <w14:schemeClr w14:val="tx1"/>
                  </w14:solidFill>
                </w14:textFill>
              </w:rPr>
            </w:pPr>
            <w:r>
              <w:rPr>
                <w:rFonts w:hint="eastAsia" w:ascii="Times New Roman" w:hAnsi="Times New Roman" w:eastAsia="宋体"/>
                <w:bCs/>
                <w:color w:val="000000" w:themeColor="text1"/>
                <w:sz w:val="24"/>
                <w:szCs w:val="24"/>
                <w:highlight w:val="none"/>
                <w14:textFill>
                  <w14:solidFill>
                    <w14:schemeClr w14:val="tx1"/>
                  </w14:solidFill>
                </w14:textFill>
              </w:rPr>
              <w:t>SS、石油类</w:t>
            </w:r>
          </w:p>
        </w:tc>
        <w:tc>
          <w:tcPr>
            <w:tcW w:w="1316" w:type="pct"/>
            <w:tcBorders>
              <w:tl2br w:val="nil"/>
              <w:tr2bl w:val="nil"/>
            </w:tcBorders>
            <w:vAlign w:val="center"/>
          </w:tcPr>
          <w:p w14:paraId="5F29080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kern w:val="0"/>
                <w:sz w:val="24"/>
                <w:szCs w:val="24"/>
                <w:highlight w:val="none"/>
                <w14:textFill>
                  <w14:solidFill>
                    <w14:schemeClr w14:val="tx1"/>
                  </w14:solidFill>
                </w14:textFill>
              </w:rPr>
              <w:t>运输车辆冲洗废水</w:t>
            </w:r>
            <w:r>
              <w:rPr>
                <w:rFonts w:hint="eastAsia" w:ascii="Times New Roman" w:hAnsi="Times New Roman" w:eastAsia="宋体"/>
                <w:color w:val="000000" w:themeColor="text1"/>
                <w:kern w:val="0"/>
                <w:sz w:val="24"/>
                <w:szCs w:val="24"/>
                <w:highlight w:val="none"/>
                <w14:textFill>
                  <w14:solidFill>
                    <w14:schemeClr w14:val="tx1"/>
                  </w14:solidFill>
                </w14:textFill>
              </w:rPr>
              <w:t>：经隔油沉淀池（</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25</w:t>
            </w:r>
            <w:r>
              <w:rPr>
                <w:rFonts w:hint="eastAsia" w:ascii="Times New Roman" w:hAnsi="Times New Roman" w:eastAsia="宋体"/>
                <w:color w:val="000000" w:themeColor="text1"/>
                <w:kern w:val="0"/>
                <w:sz w:val="24"/>
                <w:szCs w:val="24"/>
                <w:highlight w:val="none"/>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kern w:val="0"/>
                <w:sz w:val="24"/>
                <w:szCs w:val="24"/>
                <w:highlight w:val="none"/>
                <w14:textFill>
                  <w14:solidFill>
                    <w14:schemeClr w14:val="tx1"/>
                  </w14:solidFill>
                </w14:textFill>
              </w:rPr>
              <w:t>）处理后用于洗车</w:t>
            </w:r>
          </w:p>
        </w:tc>
        <w:tc>
          <w:tcPr>
            <w:tcW w:w="1127" w:type="pct"/>
            <w:tcBorders>
              <w:tl2br w:val="nil"/>
              <w:tr2bl w:val="nil"/>
            </w:tcBorders>
            <w:vAlign w:val="center"/>
          </w:tcPr>
          <w:p w14:paraId="198826A3">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w:t>
            </w:r>
            <w:r>
              <w:rPr>
                <w:rFonts w:hint="eastAsia" w:ascii="Times New Roman" w:hAnsi="Times New Roman" w:eastAsia="宋体"/>
                <w:color w:val="000000" w:themeColor="text1"/>
                <w:sz w:val="24"/>
                <w:szCs w:val="24"/>
                <w:highlight w:val="none"/>
                <w:lang w:eastAsia="zh-CN"/>
                <w14:textFill>
                  <w14:solidFill>
                    <w14:schemeClr w14:val="tx1"/>
                  </w14:solidFill>
                </w14:textFill>
              </w:rPr>
              <w:t>车辆冲洗</w:t>
            </w:r>
          </w:p>
        </w:tc>
      </w:tr>
      <w:tr w14:paraId="169C4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36C51BAB">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vMerge w:val="continue"/>
            <w:tcBorders>
              <w:tl2br w:val="nil"/>
              <w:tr2bl w:val="nil"/>
            </w:tcBorders>
            <w:vAlign w:val="center"/>
          </w:tcPr>
          <w:p w14:paraId="041191D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p>
        </w:tc>
        <w:tc>
          <w:tcPr>
            <w:tcW w:w="894" w:type="pct"/>
            <w:gridSpan w:val="2"/>
            <w:tcBorders>
              <w:tl2br w:val="nil"/>
              <w:tr2bl w:val="nil"/>
            </w:tcBorders>
            <w:vAlign w:val="center"/>
          </w:tcPr>
          <w:p w14:paraId="564B4EA4">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初期雨水</w:t>
            </w:r>
          </w:p>
        </w:tc>
        <w:tc>
          <w:tcPr>
            <w:tcW w:w="657" w:type="pct"/>
            <w:tcBorders>
              <w:tl2br w:val="nil"/>
              <w:tr2bl w:val="nil"/>
            </w:tcBorders>
            <w:vAlign w:val="center"/>
          </w:tcPr>
          <w:p w14:paraId="464C0295">
            <w:pPr>
              <w:keepNext w:val="0"/>
              <w:keepLines w:val="0"/>
              <w:pageBreakBefore w:val="0"/>
              <w:widowControl/>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SS</w:t>
            </w:r>
          </w:p>
        </w:tc>
        <w:tc>
          <w:tcPr>
            <w:tcW w:w="1316" w:type="pct"/>
            <w:tcBorders>
              <w:tl2br w:val="nil"/>
              <w:tr2bl w:val="nil"/>
            </w:tcBorders>
            <w:vAlign w:val="center"/>
          </w:tcPr>
          <w:p w14:paraId="0396DA7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kern w:val="0"/>
                <w:sz w:val="24"/>
                <w:szCs w:val="24"/>
                <w:highlight w:val="none"/>
                <w14:textFill>
                  <w14:solidFill>
                    <w14:schemeClr w14:val="tx1"/>
                  </w14:solidFill>
                </w14:textFill>
              </w:rPr>
              <w:t>进入经</w:t>
            </w:r>
            <w:r>
              <w:rPr>
                <w:rFonts w:hint="eastAsia" w:ascii="Times New Roman" w:hAnsi="Times New Roman" w:eastAsia="宋体"/>
                <w:color w:val="000000" w:themeColor="text1"/>
                <w:kern w:val="0"/>
                <w:sz w:val="24"/>
                <w:szCs w:val="24"/>
                <w:highlight w:val="none"/>
                <w:lang w:eastAsia="zh-CN"/>
                <w14:textFill>
                  <w14:solidFill>
                    <w14:schemeClr w14:val="tx1"/>
                  </w14:solidFill>
                </w14:textFill>
              </w:rPr>
              <w:t>雨水收集池</w:t>
            </w:r>
            <w:r>
              <w:rPr>
                <w:rFonts w:ascii="Times New Roman" w:hAnsi="Times New Roman" w:eastAsia="宋体"/>
                <w:color w:val="000000" w:themeColor="text1"/>
                <w:kern w:val="0"/>
                <w:sz w:val="24"/>
                <w:szCs w:val="24"/>
                <w:highlight w:val="none"/>
                <w14:textFill>
                  <w14:solidFill>
                    <w14:schemeClr w14:val="tx1"/>
                  </w14:solidFill>
                </w14:textFill>
              </w:rPr>
              <w:t>池沉淀</w:t>
            </w:r>
            <w:r>
              <w:rPr>
                <w:rFonts w:hint="eastAsia" w:ascii="Times New Roman" w:hAnsi="Times New Roman" w:eastAsia="宋体"/>
                <w:color w:val="000000" w:themeColor="text1"/>
                <w:kern w:val="0"/>
                <w:sz w:val="24"/>
                <w:szCs w:val="24"/>
                <w:highlight w:val="none"/>
                <w14:textFill>
                  <w14:solidFill>
                    <w14:schemeClr w14:val="tx1"/>
                  </w14:solidFill>
                </w14:textFill>
              </w:rPr>
              <w:t>（容积</w:t>
            </w:r>
            <w:r>
              <w:rPr>
                <w:rFonts w:hint="eastAsia" w:ascii="Times New Roman" w:hAnsi="Times New Roman" w:eastAsia="宋体"/>
                <w:color w:val="000000" w:themeColor="text1"/>
                <w:kern w:val="0"/>
                <w:sz w:val="24"/>
                <w:szCs w:val="24"/>
                <w:highlight w:val="none"/>
                <w:lang w:val="en-US" w:eastAsia="zh-CN"/>
                <w14:textFill>
                  <w14:solidFill>
                    <w14:schemeClr w14:val="tx1"/>
                  </w14:solidFill>
                </w14:textFill>
              </w:rPr>
              <w:t>300</w:t>
            </w:r>
            <w:r>
              <w:rPr>
                <w:rFonts w:hint="eastAsia" w:ascii="Times New Roman" w:hAnsi="Times New Roman" w:eastAsia="宋体"/>
                <w:color w:val="000000" w:themeColor="text1"/>
                <w:kern w:val="0"/>
                <w:sz w:val="24"/>
                <w:szCs w:val="24"/>
                <w:highlight w:val="none"/>
                <w14:textFill>
                  <w14:solidFill>
                    <w14:schemeClr w14:val="tx1"/>
                  </w14:solidFill>
                </w14:textFill>
              </w:rPr>
              <w:t>m</w:t>
            </w:r>
            <w:r>
              <w:rPr>
                <w:rFonts w:hint="eastAsia" w:ascii="Times New Roman" w:hAnsi="Times New Roman" w:eastAsia="宋体"/>
                <w:color w:val="000000" w:themeColor="text1"/>
                <w:kern w:val="0"/>
                <w:sz w:val="24"/>
                <w:szCs w:val="24"/>
                <w:highlight w:val="none"/>
                <w:vertAlign w:val="superscript"/>
                <w14:textFill>
                  <w14:solidFill>
                    <w14:schemeClr w14:val="tx1"/>
                  </w14:solidFill>
                </w14:textFill>
              </w:rPr>
              <w:t>3</w:t>
            </w:r>
            <w:r>
              <w:rPr>
                <w:rFonts w:hint="eastAsia" w:ascii="Times New Roman" w:hAnsi="Times New Roman" w:eastAsia="宋体"/>
                <w:color w:val="000000" w:themeColor="text1"/>
                <w:kern w:val="0"/>
                <w:sz w:val="24"/>
                <w:szCs w:val="24"/>
                <w:highlight w:val="none"/>
                <w14:textFill>
                  <w14:solidFill>
                    <w14:schemeClr w14:val="tx1"/>
                  </w14:solidFill>
                </w14:textFill>
              </w:rPr>
              <w:t>）</w:t>
            </w:r>
            <w:r>
              <w:rPr>
                <w:rFonts w:ascii="Times New Roman" w:hAnsi="Times New Roman" w:eastAsia="宋体"/>
                <w:color w:val="000000" w:themeColor="text1"/>
                <w:kern w:val="0"/>
                <w:sz w:val="24"/>
                <w:szCs w:val="24"/>
                <w:highlight w:val="none"/>
                <w14:textFill>
                  <w14:solidFill>
                    <w14:schemeClr w14:val="tx1"/>
                  </w14:solidFill>
                </w14:textFill>
              </w:rPr>
              <w:t>处理后回用</w:t>
            </w:r>
          </w:p>
        </w:tc>
        <w:tc>
          <w:tcPr>
            <w:tcW w:w="1127" w:type="pct"/>
            <w:tcBorders>
              <w:tl2br w:val="nil"/>
              <w:tr2bl w:val="nil"/>
            </w:tcBorders>
            <w:vAlign w:val="center"/>
          </w:tcPr>
          <w:p w14:paraId="6D45BC4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回用于生产</w:t>
            </w:r>
          </w:p>
        </w:tc>
      </w:tr>
      <w:tr w14:paraId="6D328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restart"/>
            <w:tcBorders>
              <w:tl2br w:val="nil"/>
              <w:tr2bl w:val="nil"/>
            </w:tcBorders>
            <w:vAlign w:val="center"/>
          </w:tcPr>
          <w:p w14:paraId="7431257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声环境</w:t>
            </w:r>
          </w:p>
        </w:tc>
        <w:tc>
          <w:tcPr>
            <w:tcW w:w="291" w:type="pct"/>
            <w:tcBorders>
              <w:tl2br w:val="nil"/>
              <w:tr2bl w:val="nil"/>
            </w:tcBorders>
            <w:vAlign w:val="center"/>
          </w:tcPr>
          <w:p w14:paraId="3609AFB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施工期</w:t>
            </w:r>
          </w:p>
        </w:tc>
        <w:tc>
          <w:tcPr>
            <w:tcW w:w="894" w:type="pct"/>
            <w:gridSpan w:val="2"/>
            <w:tcBorders>
              <w:tl2br w:val="nil"/>
              <w:tr2bl w:val="nil"/>
            </w:tcBorders>
            <w:vAlign w:val="center"/>
          </w:tcPr>
          <w:p w14:paraId="6EC03256">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设备</w:t>
            </w:r>
          </w:p>
        </w:tc>
        <w:tc>
          <w:tcPr>
            <w:tcW w:w="657" w:type="pct"/>
            <w:tcBorders>
              <w:tl2br w:val="nil"/>
              <w:tr2bl w:val="nil"/>
            </w:tcBorders>
            <w:vAlign w:val="center"/>
          </w:tcPr>
          <w:p w14:paraId="1012CAC2">
            <w:pPr>
              <w:keepNext w:val="0"/>
              <w:keepLines w:val="0"/>
              <w:pageBreakBefore w:val="0"/>
              <w:widowControl/>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噪声</w:t>
            </w:r>
          </w:p>
        </w:tc>
        <w:tc>
          <w:tcPr>
            <w:tcW w:w="1316" w:type="pct"/>
            <w:tcBorders>
              <w:tl2br w:val="nil"/>
              <w:tr2bl w:val="nil"/>
            </w:tcBorders>
            <w:vAlign w:val="center"/>
          </w:tcPr>
          <w:p w14:paraId="3400C215">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加强维护、</w:t>
            </w:r>
            <w:r>
              <w:rPr>
                <w:rFonts w:hint="eastAsia" w:ascii="Times New Roman" w:hAnsi="Times New Roman" w:eastAsia="宋体"/>
                <w:color w:val="000000" w:themeColor="text1"/>
                <w:sz w:val="24"/>
                <w:szCs w:val="24"/>
                <w:highlight w:val="none"/>
                <w:lang w:eastAsia="zh-CN"/>
                <w14:textFill>
                  <w14:solidFill>
                    <w14:schemeClr w14:val="tx1"/>
                  </w14:solidFill>
                </w14:textFill>
              </w:rPr>
              <w:t>距离</w:t>
            </w:r>
            <w:r>
              <w:rPr>
                <w:rFonts w:ascii="Times New Roman" w:hAnsi="Times New Roman" w:eastAsia="宋体"/>
                <w:color w:val="000000" w:themeColor="text1"/>
                <w:sz w:val="24"/>
                <w:szCs w:val="24"/>
                <w:highlight w:val="none"/>
                <w14:textFill>
                  <w14:solidFill>
                    <w14:schemeClr w14:val="tx1"/>
                  </w14:solidFill>
                </w14:textFill>
              </w:rPr>
              <w:t>衰减</w:t>
            </w:r>
          </w:p>
        </w:tc>
        <w:tc>
          <w:tcPr>
            <w:tcW w:w="1127" w:type="pct"/>
            <w:tcBorders>
              <w:tl2br w:val="nil"/>
              <w:tr2bl w:val="nil"/>
            </w:tcBorders>
            <w:vAlign w:val="center"/>
          </w:tcPr>
          <w:p w14:paraId="564FAFF7">
            <w:pPr>
              <w:keepNext w:val="0"/>
              <w:keepLines w:val="0"/>
              <w:pageBreakBefore w:val="0"/>
              <w:kinsoku/>
              <w:wordWrap w:val="0"/>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《建筑施工场界环境噪声排放标准》</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GB12523-2011</w:t>
            </w:r>
            <w:r>
              <w:rPr>
                <w:rFonts w:hint="eastAsia" w:ascii="Times New Roman" w:hAnsi="Times New Roman" w:eastAsia="宋体"/>
                <w:color w:val="000000" w:themeColor="text1"/>
                <w:sz w:val="24"/>
                <w:szCs w:val="24"/>
                <w:highlight w:val="none"/>
                <w14:textFill>
                  <w14:solidFill>
                    <w14:schemeClr w14:val="tx1"/>
                  </w14:solidFill>
                </w14:textFill>
              </w:rPr>
              <w:t>）</w:t>
            </w:r>
          </w:p>
        </w:tc>
      </w:tr>
      <w:tr w14:paraId="3C96E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vMerge w:val="continue"/>
            <w:tcBorders>
              <w:tl2br w:val="nil"/>
              <w:tr2bl w:val="nil"/>
            </w:tcBorders>
            <w:vAlign w:val="center"/>
          </w:tcPr>
          <w:p w14:paraId="1950639C">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p>
        </w:tc>
        <w:tc>
          <w:tcPr>
            <w:tcW w:w="291" w:type="pct"/>
            <w:tcBorders>
              <w:tl2br w:val="nil"/>
              <w:tr2bl w:val="nil"/>
            </w:tcBorders>
            <w:vAlign w:val="center"/>
          </w:tcPr>
          <w:p w14:paraId="3DDFBCA8">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营运期</w:t>
            </w:r>
          </w:p>
        </w:tc>
        <w:tc>
          <w:tcPr>
            <w:tcW w:w="894" w:type="pct"/>
            <w:gridSpan w:val="2"/>
            <w:tcBorders>
              <w:tl2br w:val="nil"/>
              <w:tr2bl w:val="nil"/>
            </w:tcBorders>
            <w:vAlign w:val="center"/>
          </w:tcPr>
          <w:p w14:paraId="38A98B1E">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设备</w:t>
            </w:r>
          </w:p>
        </w:tc>
        <w:tc>
          <w:tcPr>
            <w:tcW w:w="657" w:type="pct"/>
            <w:tcBorders>
              <w:tl2br w:val="nil"/>
              <w:tr2bl w:val="nil"/>
            </w:tcBorders>
            <w:vAlign w:val="center"/>
          </w:tcPr>
          <w:p w14:paraId="6D29C78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噪声</w:t>
            </w:r>
          </w:p>
        </w:tc>
        <w:tc>
          <w:tcPr>
            <w:tcW w:w="1316" w:type="pct"/>
            <w:tcBorders>
              <w:tl2br w:val="nil"/>
              <w:tr2bl w:val="nil"/>
            </w:tcBorders>
            <w:vAlign w:val="center"/>
          </w:tcPr>
          <w:p w14:paraId="3794B6AD">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基础减震、</w:t>
            </w:r>
            <w:r>
              <w:rPr>
                <w:rFonts w:ascii="Times New Roman" w:hAnsi="Times New Roman" w:eastAsia="宋体"/>
                <w:color w:val="000000" w:themeColor="text1"/>
                <w:sz w:val="24"/>
                <w:szCs w:val="24"/>
                <w:highlight w:val="none"/>
                <w14:textFill>
                  <w14:solidFill>
                    <w14:schemeClr w14:val="tx1"/>
                  </w14:solidFill>
                </w14:textFill>
              </w:rPr>
              <w:t>加强维护、</w:t>
            </w:r>
            <w:r>
              <w:rPr>
                <w:rFonts w:hint="eastAsia" w:ascii="Times New Roman" w:hAnsi="Times New Roman" w:eastAsia="宋体"/>
                <w:color w:val="000000" w:themeColor="text1"/>
                <w:sz w:val="24"/>
                <w:szCs w:val="24"/>
                <w:highlight w:val="none"/>
                <w:lang w:eastAsia="zh-CN"/>
                <w14:textFill>
                  <w14:solidFill>
                    <w14:schemeClr w14:val="tx1"/>
                  </w14:solidFill>
                </w14:textFill>
              </w:rPr>
              <w:t>厂房隔声、距离</w:t>
            </w:r>
            <w:r>
              <w:rPr>
                <w:rFonts w:ascii="Times New Roman" w:hAnsi="Times New Roman" w:eastAsia="宋体"/>
                <w:color w:val="000000" w:themeColor="text1"/>
                <w:sz w:val="24"/>
                <w:szCs w:val="24"/>
                <w:highlight w:val="none"/>
                <w14:textFill>
                  <w14:solidFill>
                    <w14:schemeClr w14:val="tx1"/>
                  </w14:solidFill>
                </w14:textFill>
              </w:rPr>
              <w:t>衰减</w:t>
            </w:r>
          </w:p>
        </w:tc>
        <w:tc>
          <w:tcPr>
            <w:tcW w:w="1127" w:type="pct"/>
            <w:tcBorders>
              <w:tl2br w:val="nil"/>
              <w:tr2bl w:val="nil"/>
            </w:tcBorders>
            <w:vAlign w:val="center"/>
          </w:tcPr>
          <w:p w14:paraId="6688F046">
            <w:pPr>
              <w:keepNext w:val="0"/>
              <w:keepLines w:val="0"/>
              <w:pageBreakBefore w:val="0"/>
              <w:tabs>
                <w:tab w:val="left" w:pos="600"/>
              </w:tabs>
              <w:kinsoku/>
              <w:wordWrap w:val="0"/>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《工业企业厂界环境噪声排放标准》（GB12348-2008）中</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2</w:t>
            </w:r>
            <w:r>
              <w:rPr>
                <w:rFonts w:ascii="Times New Roman" w:hAnsi="Times New Roman" w:eastAsia="宋体"/>
                <w:color w:val="000000" w:themeColor="text1"/>
                <w:sz w:val="24"/>
                <w:szCs w:val="24"/>
                <w:highlight w:val="none"/>
                <w14:textFill>
                  <w14:solidFill>
                    <w14:schemeClr w14:val="tx1"/>
                  </w14:solidFill>
                </w14:textFill>
              </w:rPr>
              <w:t>类排放标准</w:t>
            </w:r>
          </w:p>
        </w:tc>
      </w:tr>
      <w:tr w14:paraId="57BBA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5F849C1F">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电磁辐射</w:t>
            </w:r>
          </w:p>
        </w:tc>
        <w:tc>
          <w:tcPr>
            <w:tcW w:w="291" w:type="pct"/>
            <w:tcBorders>
              <w:tl2br w:val="nil"/>
              <w:tr2bl w:val="nil"/>
            </w:tcBorders>
            <w:vAlign w:val="center"/>
          </w:tcPr>
          <w:p w14:paraId="1C379179">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c>
          <w:tcPr>
            <w:tcW w:w="894" w:type="pct"/>
            <w:gridSpan w:val="2"/>
            <w:tcBorders>
              <w:tl2br w:val="nil"/>
              <w:tr2bl w:val="nil"/>
            </w:tcBorders>
            <w:vAlign w:val="center"/>
          </w:tcPr>
          <w:p w14:paraId="07D70D80">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14:textFill>
                  <w14:solidFill>
                    <w14:schemeClr w14:val="tx1"/>
                  </w14:solidFill>
                </w14:textFill>
              </w:rPr>
              <w:t>/</w:t>
            </w:r>
          </w:p>
        </w:tc>
        <w:tc>
          <w:tcPr>
            <w:tcW w:w="657" w:type="pct"/>
            <w:tcBorders>
              <w:tl2br w:val="nil"/>
              <w:tr2bl w:val="nil"/>
            </w:tcBorders>
            <w:vAlign w:val="center"/>
          </w:tcPr>
          <w:p w14:paraId="601AF32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c>
          <w:tcPr>
            <w:tcW w:w="1316" w:type="pct"/>
            <w:tcBorders>
              <w:tl2br w:val="nil"/>
              <w:tr2bl w:val="nil"/>
            </w:tcBorders>
            <w:vAlign w:val="center"/>
          </w:tcPr>
          <w:p w14:paraId="01179CD2">
            <w:pPr>
              <w:keepNext w:val="0"/>
              <w:keepLines w:val="0"/>
              <w:pageBreakBefore w:val="0"/>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c>
          <w:tcPr>
            <w:tcW w:w="1127" w:type="pct"/>
            <w:tcBorders>
              <w:tl2br w:val="nil"/>
              <w:tr2bl w:val="nil"/>
            </w:tcBorders>
            <w:vAlign w:val="center"/>
          </w:tcPr>
          <w:p w14:paraId="560EB8C2">
            <w:pPr>
              <w:keepNext w:val="0"/>
              <w:keepLines w:val="0"/>
              <w:pageBreakBefore w:val="0"/>
              <w:tabs>
                <w:tab w:val="left" w:pos="600"/>
              </w:tabs>
              <w:kinsoku/>
              <w:overflowPunct/>
              <w:topLinePunct w:val="0"/>
              <w:autoSpaceDE/>
              <w:autoSpaceDN/>
              <w:bidi w:val="0"/>
              <w:adjustRightInd w:val="0"/>
              <w:snapToGrid w:val="0"/>
              <w:spacing w:line="24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w:t>
            </w:r>
          </w:p>
        </w:tc>
      </w:tr>
      <w:tr w14:paraId="6EEDA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6B7446A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固体废物</w:t>
            </w:r>
          </w:p>
        </w:tc>
        <w:tc>
          <w:tcPr>
            <w:tcW w:w="4286" w:type="pct"/>
            <w:gridSpan w:val="6"/>
            <w:tcBorders>
              <w:tl2br w:val="nil"/>
              <w:tr2bl w:val="nil"/>
            </w:tcBorders>
            <w:vAlign w:val="center"/>
          </w:tcPr>
          <w:p w14:paraId="533E983C">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生活垃圾：经垃圾桶收集后交由环卫部门清运处理；</w:t>
            </w:r>
          </w:p>
          <w:p w14:paraId="6E9E9282">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食堂餐厨垃圾、废油：交由具有餐厨垃圾处置资质单位处置；</w:t>
            </w:r>
          </w:p>
          <w:p w14:paraId="4E78EE2D">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筒仓除尘器粉尘：回用于生产；</w:t>
            </w:r>
          </w:p>
          <w:p w14:paraId="5AE60155">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沉淀池底泥</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（泥饼）、检验室硬化混凝土块</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清运至G42线南充至成都段高速公路扩容工程弃渣场（经纬度：105.5903，30.6304）</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w:t>
            </w:r>
          </w:p>
          <w:p w14:paraId="25F18287">
            <w:pPr>
              <w:keepNext w:val="0"/>
              <w:keepLines w:val="0"/>
              <w:pageBreakBefore w:val="0"/>
              <w:widowControl w:val="0"/>
              <w:kinsoku/>
              <w:wordWrap/>
              <w:overflowPunct/>
              <w:topLinePunct w:val="0"/>
              <w:autoSpaceDE/>
              <w:autoSpaceDN/>
              <w:bidi w:val="0"/>
              <w:spacing w:line="360" w:lineRule="auto"/>
              <w:ind w:left="0" w:leftChars="0" w:firstLine="0" w:firstLineChars="0"/>
              <w:jc w:val="left"/>
              <w:textAlignment w:val="auto"/>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钢筋边角废料</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：收集后统一</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外售至废品收购站综合利用</w:t>
            </w: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w:t>
            </w:r>
          </w:p>
          <w:p w14:paraId="01EE1FB5">
            <w:pPr>
              <w:keepNext w:val="0"/>
              <w:keepLines w:val="0"/>
              <w:pageBreakBefore w:val="0"/>
              <w:kinsoku/>
              <w:wordWrap/>
              <w:overflowPunct/>
              <w:topLinePunct w:val="0"/>
              <w:autoSpaceDE/>
              <w:autoSpaceDN/>
              <w:bidi w:val="0"/>
              <w:adjustRightInd w:val="0"/>
              <w:snapToGrid w:val="0"/>
              <w:spacing w:line="360" w:lineRule="auto"/>
              <w:ind w:left="0" w:leftChars="0" w:firstLine="0" w:firstLineChars="0"/>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危废（废机油（含包装桶）、含油手套、废棉纱、隔油沉淀池废油污）：</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设置专门的危废暂存间（面积</w:t>
            </w:r>
            <w:r>
              <w:rPr>
                <w:rFonts w:hint="eastAsia"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3</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m</w:t>
            </w:r>
            <w:r>
              <w:rPr>
                <w:rFonts w:hint="default" w:ascii="Times New Roman" w:hAnsi="Times New Roman" w:eastAsia="宋体" w:cs="Times New Roman"/>
                <w:b w:val="0"/>
                <w:bCs w:val="0"/>
                <w:color w:val="000000" w:themeColor="text1"/>
                <w:kern w:val="0"/>
                <w:sz w:val="24"/>
                <w:szCs w:val="24"/>
                <w:highlight w:val="none"/>
                <w:vertAlign w:val="superscript"/>
                <w:lang w:val="en-US" w:eastAsia="zh-CN" w:bidi="ar-SA"/>
                <w14:textFill>
                  <w14:solidFill>
                    <w14:schemeClr w14:val="tx1"/>
                  </w14:solidFill>
                </w14:textFill>
              </w:rPr>
              <w:t>2</w:t>
            </w:r>
            <w:r>
              <w:rPr>
                <w:rFonts w:hint="default" w:ascii="Times New Roman" w:hAnsi="Times New Roman" w:eastAsia="宋体" w:cs="Times New Roman"/>
                <w:b w:val="0"/>
                <w:bCs w:val="0"/>
                <w:color w:val="000000" w:themeColor="text1"/>
                <w:kern w:val="0"/>
                <w:sz w:val="24"/>
                <w:szCs w:val="24"/>
                <w:highlight w:val="none"/>
                <w:lang w:val="en-US" w:eastAsia="zh-CN" w:bidi="ar-SA"/>
                <w14:textFill>
                  <w14:solidFill>
                    <w14:schemeClr w14:val="tx1"/>
                  </w14:solidFill>
                </w14:textFill>
              </w:rPr>
              <w:t>），危废分类暂存于危废间，定期交由资质单位处理，与资质单位签订危废处置协议，建立危废处置台账</w:t>
            </w:r>
            <w:r>
              <w:rPr>
                <w:rFonts w:hint="eastAsia" w:ascii="Times New Roman" w:hAnsi="Times New Roman" w:eastAsia="宋体"/>
                <w:color w:val="000000" w:themeColor="text1"/>
                <w:sz w:val="24"/>
                <w:szCs w:val="24"/>
                <w:highlight w:val="none"/>
                <w14:textFill>
                  <w14:solidFill>
                    <w14:schemeClr w14:val="tx1"/>
                  </w14:solidFill>
                </w14:textFill>
              </w:rPr>
              <w:t>。</w:t>
            </w:r>
          </w:p>
        </w:tc>
      </w:tr>
      <w:tr w14:paraId="2A814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73FF3B1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土壤及地下水污染防治措施</w:t>
            </w:r>
          </w:p>
        </w:tc>
        <w:tc>
          <w:tcPr>
            <w:tcW w:w="4286" w:type="pct"/>
            <w:gridSpan w:val="6"/>
            <w:tcBorders>
              <w:tl2br w:val="nil"/>
              <w:tr2bl w:val="nil"/>
            </w:tcBorders>
            <w:vAlign w:val="center"/>
          </w:tcPr>
          <w:p w14:paraId="77F0D243">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0" w:firstLineChars="0"/>
              <w:jc w:val="left"/>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采取分区防渗措施：</w:t>
            </w:r>
          </w:p>
          <w:p w14:paraId="3B195B5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重点防渗区</w:t>
            </w:r>
            <w:r>
              <w:rPr>
                <w:rFonts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lang w:eastAsia="zh-CN"/>
                <w14:textFill>
                  <w14:solidFill>
                    <w14:schemeClr w14:val="tx1"/>
                  </w14:solidFill>
                </w14:textFill>
              </w:rPr>
              <w:t>危废暂存间</w:t>
            </w:r>
            <w:r>
              <w:rPr>
                <w:rFonts w:ascii="Times New Roman" w:hAnsi="Times New Roman" w:eastAsia="宋体"/>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Mb≥6m，</w:t>
            </w:r>
            <w:r>
              <w:rPr>
                <w:rFonts w:ascii="Times New Roman" w:hAnsi="Times New Roman" w:eastAsia="宋体"/>
                <w:color w:val="000000" w:themeColor="text1"/>
                <w:sz w:val="24"/>
                <w:szCs w:val="24"/>
                <w:highlight w:val="none"/>
                <w14:textFill>
                  <w14:solidFill>
                    <w14:schemeClr w14:val="tx1"/>
                  </w14:solidFill>
                </w14:textFill>
              </w:rPr>
              <w:t>渗透系数≤10</w:t>
            </w:r>
            <w:r>
              <w:rPr>
                <w:rFonts w:ascii="Times New Roman" w:hAnsi="Times New Roman" w:eastAsia="宋体"/>
                <w:color w:val="000000" w:themeColor="text1"/>
                <w:sz w:val="24"/>
                <w:szCs w:val="24"/>
                <w:highlight w:val="none"/>
                <w:vertAlign w:val="superscript"/>
                <w14:textFill>
                  <w14:solidFill>
                    <w14:schemeClr w14:val="tx1"/>
                  </w14:solidFill>
                </w14:textFill>
              </w:rPr>
              <w:t>-10</w:t>
            </w:r>
            <w:r>
              <w:rPr>
                <w:rFonts w:ascii="Times New Roman" w:hAnsi="Times New Roman" w:eastAsia="宋体"/>
                <w:color w:val="000000" w:themeColor="text1"/>
                <w:sz w:val="24"/>
                <w:szCs w:val="24"/>
                <w:highlight w:val="none"/>
                <w14:textFill>
                  <w14:solidFill>
                    <w14:schemeClr w14:val="tx1"/>
                  </w14:solidFill>
                </w14:textFill>
              </w:rPr>
              <w:t>cm/s</w:t>
            </w:r>
            <w:r>
              <w:rPr>
                <w:rFonts w:hint="eastAsia" w:ascii="Times New Roman" w:hAnsi="Times New Roman" w:eastAsia="宋体"/>
                <w:color w:val="000000" w:themeColor="text1"/>
                <w:sz w:val="24"/>
                <w:szCs w:val="24"/>
                <w:highlight w:val="none"/>
                <w:lang w:eastAsia="zh-CN"/>
                <w14:textFill>
                  <w14:solidFill>
                    <w14:schemeClr w14:val="tx1"/>
                  </w14:solidFill>
                </w14:textFill>
              </w:rPr>
              <w:t>；隔油沉淀池</w:t>
            </w:r>
            <w:r>
              <w:rPr>
                <w:rFonts w:hint="default" w:ascii="Times New Roman" w:hAnsi="Times New Roman" w:eastAsia="宋体" w:cs="Times New Roman"/>
                <w:color w:val="000000" w:themeColor="text1"/>
                <w:sz w:val="24"/>
                <w:szCs w:val="24"/>
                <w:highlight w:val="none"/>
                <w14:textFill>
                  <w14:solidFill>
                    <w14:schemeClr w14:val="tx1"/>
                  </w14:solidFill>
                </w14:textFill>
              </w:rPr>
              <w:t>Mb≥6m，</w:t>
            </w:r>
            <w:r>
              <w:rPr>
                <w:rFonts w:ascii="Times New Roman" w:hAnsi="Times New Roman" w:eastAsia="宋体"/>
                <w:color w:val="000000" w:themeColor="text1"/>
                <w:sz w:val="24"/>
                <w:szCs w:val="24"/>
                <w:highlight w:val="none"/>
                <w14:textFill>
                  <w14:solidFill>
                    <w14:schemeClr w14:val="tx1"/>
                  </w14:solidFill>
                </w14:textFill>
              </w:rPr>
              <w:t>渗透系数≤10</w:t>
            </w:r>
            <w:r>
              <w:rPr>
                <w:rFonts w:ascii="Times New Roman" w:hAnsi="Times New Roman" w:eastAsia="宋体"/>
                <w:color w:val="000000" w:themeColor="text1"/>
                <w:sz w:val="24"/>
                <w:szCs w:val="24"/>
                <w:highlight w:val="none"/>
                <w:vertAlign w:val="superscript"/>
                <w14:textFill>
                  <w14:solidFill>
                    <w14:schemeClr w14:val="tx1"/>
                  </w14:solidFill>
                </w14:textFill>
              </w:rPr>
              <w:t>-</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7</w:t>
            </w:r>
            <w:r>
              <w:rPr>
                <w:rFonts w:ascii="Times New Roman" w:hAnsi="Times New Roman" w:eastAsia="宋体"/>
                <w:color w:val="000000" w:themeColor="text1"/>
                <w:sz w:val="24"/>
                <w:szCs w:val="24"/>
                <w:highlight w:val="none"/>
                <w14:textFill>
                  <w14:solidFill>
                    <w14:schemeClr w14:val="tx1"/>
                  </w14:solidFill>
                </w14:textFill>
              </w:rPr>
              <w:t>cm/s）；一般防渗</w:t>
            </w:r>
            <w:r>
              <w:rPr>
                <w:rFonts w:hint="eastAsia" w:ascii="Times New Roman" w:hAnsi="Times New Roman" w:eastAsia="宋体"/>
                <w:color w:val="000000" w:themeColor="text1"/>
                <w:sz w:val="24"/>
                <w:szCs w:val="24"/>
                <w:highlight w:val="none"/>
                <w:lang w:eastAsia="zh-CN"/>
                <w14:textFill>
                  <w14:solidFill>
                    <w14:schemeClr w14:val="tx1"/>
                  </w14:solidFill>
                </w14:textFill>
              </w:rPr>
              <w:t>区</w:t>
            </w:r>
            <w:r>
              <w:rPr>
                <w:rFonts w:ascii="Times New Roman" w:hAnsi="Times New Roman" w:eastAsia="宋体"/>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生产区地面（</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碎石加工区、水稳站、</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拌合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区、钢筋加工场、预制梁场</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）、沉淀水池、</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化粪池</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、雨水收集池底部以及四周</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14:textFill>
                  <w14:solidFill>
                    <w14:schemeClr w14:val="tx1"/>
                  </w14:solidFill>
                </w14:textFill>
              </w:rPr>
              <w:t>Mb≥</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w:t>
            </w:r>
            <w:r>
              <w:rPr>
                <w:rFonts w:hint="default"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olor w:val="000000" w:themeColor="text1"/>
                <w:sz w:val="24"/>
                <w:szCs w:val="24"/>
                <w:highlight w:val="none"/>
                <w14:textFill>
                  <w14:solidFill>
                    <w14:schemeClr w14:val="tx1"/>
                  </w14:solidFill>
                </w14:textFill>
              </w:rPr>
              <w:t>渗透系数≤10</w:t>
            </w:r>
            <w:r>
              <w:rPr>
                <w:rFonts w:ascii="Times New Roman" w:hAnsi="Times New Roman" w:eastAsia="宋体"/>
                <w:color w:val="000000" w:themeColor="text1"/>
                <w:sz w:val="24"/>
                <w:szCs w:val="24"/>
                <w:highlight w:val="none"/>
                <w:vertAlign w:val="superscript"/>
                <w14:textFill>
                  <w14:solidFill>
                    <w14:schemeClr w14:val="tx1"/>
                  </w14:solidFill>
                </w14:textFill>
              </w:rPr>
              <w:t>-</w:t>
            </w:r>
            <w:r>
              <w:rPr>
                <w:rFonts w:hint="eastAsia" w:ascii="Times New Roman" w:hAnsi="Times New Roman" w:eastAsia="宋体"/>
                <w:color w:val="000000" w:themeColor="text1"/>
                <w:sz w:val="24"/>
                <w:szCs w:val="24"/>
                <w:highlight w:val="none"/>
                <w:vertAlign w:val="superscript"/>
                <w:lang w:val="en-US" w:eastAsia="zh-CN"/>
                <w14:textFill>
                  <w14:solidFill>
                    <w14:schemeClr w14:val="tx1"/>
                  </w14:solidFill>
                </w14:textFill>
              </w:rPr>
              <w:t>7</w:t>
            </w:r>
            <w:r>
              <w:rPr>
                <w:rFonts w:ascii="Times New Roman" w:hAnsi="Times New Roman" w:eastAsia="宋体"/>
                <w:color w:val="000000" w:themeColor="text1"/>
                <w:sz w:val="24"/>
                <w:szCs w:val="24"/>
                <w:highlight w:val="none"/>
                <w14:textFill>
                  <w14:solidFill>
                    <w14:schemeClr w14:val="tx1"/>
                  </w14:solidFill>
                </w14:textFill>
              </w:rPr>
              <w:t>cm/s）；</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料仓地面、办公生活区域、厂内道路</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等</w:t>
            </w:r>
            <w:r>
              <w:rPr>
                <w:rFonts w:ascii="Times New Roman" w:hAnsi="Times New Roman" w:eastAsia="宋体"/>
                <w:color w:val="000000" w:themeColor="text1"/>
                <w:sz w:val="24"/>
                <w:szCs w:val="24"/>
                <w:highlight w:val="none"/>
                <w14:textFill>
                  <w14:solidFill>
                    <w14:schemeClr w14:val="tx1"/>
                  </w14:solidFill>
                </w14:textFill>
              </w:rPr>
              <w:t>其他地面做简单防渗，进行一般地面硬化处理</w:t>
            </w:r>
            <w:r>
              <w:rPr>
                <w:rFonts w:hint="eastAsia" w:ascii="Times New Roman" w:hAnsi="Times New Roman" w:eastAsia="宋体"/>
                <w:color w:val="000000" w:themeColor="text1"/>
                <w:sz w:val="24"/>
                <w:szCs w:val="24"/>
                <w:highlight w:val="none"/>
                <w:lang w:eastAsia="zh-CN"/>
                <w14:textFill>
                  <w14:solidFill>
                    <w14:schemeClr w14:val="tx1"/>
                  </w14:solidFill>
                </w14:textFill>
              </w:rPr>
              <w:t>。</w:t>
            </w:r>
          </w:p>
        </w:tc>
      </w:tr>
      <w:tr w14:paraId="58C8A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60E51606">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生态保护</w:t>
            </w:r>
          </w:p>
          <w:p w14:paraId="23C7AB45">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措施</w:t>
            </w:r>
          </w:p>
        </w:tc>
        <w:tc>
          <w:tcPr>
            <w:tcW w:w="4286" w:type="pct"/>
            <w:gridSpan w:val="6"/>
            <w:tcBorders>
              <w:tl2br w:val="nil"/>
              <w:tr2bl w:val="nil"/>
            </w:tcBorders>
            <w:vAlign w:val="center"/>
          </w:tcPr>
          <w:p w14:paraId="4FCD36F6">
            <w:pPr>
              <w:keepNext w:val="0"/>
              <w:keepLines w:val="0"/>
              <w:pageBreakBefore w:val="0"/>
              <w:widowControl w:val="0"/>
              <w:kinsoku/>
              <w:wordWrap/>
              <w:overflowPunct/>
              <w:topLinePunct w:val="0"/>
              <w:autoSpaceDE/>
              <w:autoSpaceDN/>
              <w:bidi w:val="0"/>
              <w:adjustRightInd w:val="0"/>
              <w:snapToGrid w:val="0"/>
              <w:spacing w:before="157" w:beforeLines="50" w:line="360" w:lineRule="auto"/>
              <w:ind w:left="0" w:leftChars="0" w:firstLine="0" w:firstLineChars="0"/>
              <w:jc w:val="center"/>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由于本项目为临时工程，在服务期满后</w:t>
            </w:r>
            <w:r>
              <w:rPr>
                <w:rFonts w:hint="eastAsia" w:ascii="Times New Roman" w:hAnsi="Times New Roman" w:eastAsia="宋体"/>
                <w:color w:val="000000" w:themeColor="text1"/>
                <w:sz w:val="24"/>
                <w:szCs w:val="24"/>
                <w:highlight w:val="none"/>
                <w:lang w:eastAsia="zh-CN"/>
                <w14:textFill>
                  <w14:solidFill>
                    <w14:schemeClr w14:val="tx1"/>
                  </w14:solidFill>
                </w14:textFill>
              </w:rPr>
              <w:t>进行设备拆除退场</w:t>
            </w:r>
            <w:r>
              <w:rPr>
                <w:rFonts w:ascii="Times New Roman" w:hAnsi="Times New Roman" w:eastAsia="宋体"/>
                <w:color w:val="000000" w:themeColor="text1"/>
                <w:sz w:val="24"/>
                <w:szCs w:val="24"/>
                <w:highlight w:val="none"/>
                <w14:textFill>
                  <w14:solidFill>
                    <w14:schemeClr w14:val="tx1"/>
                  </w14:solidFill>
                </w14:textFill>
              </w:rPr>
              <w:t>。</w:t>
            </w:r>
          </w:p>
        </w:tc>
      </w:tr>
      <w:tr w14:paraId="02D51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1385F4D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环境风险</w:t>
            </w:r>
          </w:p>
          <w:p w14:paraId="5245581B">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ascii="Times New Roman" w:hAnsi="Times New Roman" w:eastAsia="宋体"/>
                <w:b/>
                <w:color w:val="000000" w:themeColor="text1"/>
                <w:sz w:val="24"/>
                <w:szCs w:val="24"/>
                <w:highlight w:val="none"/>
                <w14:textFill>
                  <w14:solidFill>
                    <w14:schemeClr w14:val="tx1"/>
                  </w14:solidFill>
                </w14:textFill>
              </w:rPr>
              <w:t>防范措施</w:t>
            </w:r>
          </w:p>
        </w:tc>
        <w:tc>
          <w:tcPr>
            <w:tcW w:w="4286" w:type="pct"/>
            <w:gridSpan w:val="6"/>
            <w:tcBorders>
              <w:tl2br w:val="nil"/>
              <w:tr2bl w:val="nil"/>
            </w:tcBorders>
            <w:vAlign w:val="center"/>
          </w:tcPr>
          <w:p w14:paraId="2993E41C">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①除尘器以及喷淋设施的除尘效果与其工作状况有关，生产企业应建立定期巡查制度，时刻注意除尘器以及喷淋设施的工作效果，发现问题及时修理。</w:t>
            </w:r>
          </w:p>
          <w:p w14:paraId="2E3AF904">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②筒仓附近严禁明火，定期清理筒仓，防止粉尘沉积。</w:t>
            </w:r>
          </w:p>
          <w:p w14:paraId="0FAFE208">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③有粉尘爆炸风险的岗位进行粉尘防爆岗位前专业培训，操作人员必须经过专门培训，做到持证上岗，并且严格遵守操作规程。</w:t>
            </w:r>
          </w:p>
          <w:p w14:paraId="77D36FB0">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④液态物料及液态危废等危险废物按要求分类存放并设置警示标识，采用专用容器收集且下设托盘，并设置空桶作为备用收容设施，配备一定吸污设备，确保物料有漏时能够收集到备用收容设施内。</w:t>
            </w:r>
          </w:p>
          <w:p w14:paraId="14D225EA">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⑤厂区禁止设置排污口，雨水排口设置截断阀门，发生事故时立即关闭雨水排口截断阀门，防止废水、泄露的危废等排入外环境污染地表水。</w:t>
            </w:r>
          </w:p>
          <w:p w14:paraId="3F29AC16">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⑥危废暂存间按照《危险废物贮存污染控制标准》(GB18597-2001)的管理规定进行管理，企业内部应建立危险废物产生、外运、处置及最终去向的详细台账，按照《危险废物转移联单管理办法》的要求做好危险废物转移联单填报登记工作，危废必须坚持交由资质单位处理，如资质单位在处理能力不能满足的情况下，企业应提前积极寻找其他资质单位并签订协议，企业不得擅自处理或排放。</w:t>
            </w:r>
          </w:p>
          <w:p w14:paraId="17DBDE87">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⑦厂区应严格按照要求进行分区防渗，防渗层若有破损应及时修复。</w:t>
            </w:r>
          </w:p>
          <w:p w14:paraId="06EEE666">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⑧定期对各类存储设施进行外部检查，及时发现破损和漏处。对储罐等焊缝、垫片、铆钉或螺栓的泄漏采取必要预防措施。存储设施所有进出的管道均设安全控制阀。定期对各类存储设施及其管道系统的管理与维修，严格防止跑、冒、滴、漏现象发生。</w:t>
            </w:r>
          </w:p>
          <w:p w14:paraId="02E435EF">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⑨定期巡查，加强对各项环保设施的维护保养，若环保设施发生故障，应及时停止生产，待检修完后再恢复生产。</w:t>
            </w:r>
          </w:p>
          <w:p w14:paraId="6FD712AA">
            <w:pPr>
              <w:keepNext w:val="0"/>
              <w:keepLines w:val="0"/>
              <w:pageBreakBefore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⑩对职工要加强环保、安全生产教育，生产中积极采取防范措施。</w:t>
            </w:r>
          </w:p>
          <w:p w14:paraId="1C594D2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jc w:val="left"/>
              <w:textAlignment w:val="auto"/>
              <w:rPr>
                <w:rFonts w:ascii="Times New Roman" w:hAnsi="Times New Roman" w:eastAsia="宋体"/>
                <w:color w:val="000000" w:themeColor="text1"/>
                <w:sz w:val="24"/>
                <w:szCs w:val="24"/>
                <w:highlight w:val="none"/>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⑪其他防范措施：为能在事故发生后，迅速准确，有条不紊地处理事故，尽可能减少事故造成的损失，平时必须做好应急救援的准备工作落实岗位责任制和各项制度。</w:t>
            </w:r>
          </w:p>
        </w:tc>
      </w:tr>
      <w:tr w14:paraId="474E7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713" w:type="pct"/>
            <w:tcBorders>
              <w:tl2br w:val="nil"/>
              <w:tr2bl w:val="nil"/>
            </w:tcBorders>
            <w:vAlign w:val="center"/>
          </w:tcPr>
          <w:p w14:paraId="6B6290B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center"/>
              <w:textAlignment w:val="auto"/>
              <w:rPr>
                <w:rFonts w:ascii="Times New Roman" w:hAnsi="Times New Roman" w:eastAsia="宋体"/>
                <w:b/>
                <w:color w:val="000000" w:themeColor="text1"/>
                <w:sz w:val="24"/>
                <w:szCs w:val="24"/>
                <w:highlight w:val="none"/>
                <w14:textFill>
                  <w14:solidFill>
                    <w14:schemeClr w14:val="tx1"/>
                  </w14:solidFill>
                </w14:textFill>
              </w:rPr>
            </w:pPr>
            <w:r>
              <w:rPr>
                <w:rFonts w:hint="eastAsia" w:ascii="Times New Roman" w:hAnsi="Times New Roman" w:eastAsia="宋体"/>
                <w:b/>
                <w:color w:val="000000" w:themeColor="text1"/>
                <w:sz w:val="24"/>
                <w:szCs w:val="24"/>
                <w:highlight w:val="none"/>
                <w14:textFill>
                  <w14:solidFill>
                    <w14:schemeClr w14:val="tx1"/>
                  </w14:solidFill>
                </w14:textFill>
              </w:rPr>
              <w:t>其他环境管理要求</w:t>
            </w:r>
          </w:p>
        </w:tc>
        <w:tc>
          <w:tcPr>
            <w:tcW w:w="4286" w:type="pct"/>
            <w:gridSpan w:val="6"/>
            <w:tcBorders>
              <w:tl2br w:val="nil"/>
              <w:tr2bl w:val="nil"/>
            </w:tcBorders>
            <w:vAlign w:val="center"/>
          </w:tcPr>
          <w:p w14:paraId="4E629AD9">
            <w:pPr>
              <w:keepNext w:val="0"/>
              <w:keepLines w:val="0"/>
              <w:pageBreakBefore w:val="0"/>
              <w:widowControl w:val="0"/>
              <w:numPr>
                <w:ilvl w:val="0"/>
                <w:numId w:val="6"/>
              </w:numPr>
              <w:kinsoku/>
              <w:wordWrap/>
              <w:overflowPunct/>
              <w:topLinePunct w:val="0"/>
              <w:autoSpaceDE/>
              <w:autoSpaceDN/>
              <w:bidi w:val="0"/>
              <w:adjustRightInd w:val="0"/>
              <w:snapToGrid w:val="0"/>
              <w:spacing w:before="157" w:beforeLines="50" w:line="360" w:lineRule="auto"/>
              <w:ind w:left="0" w:leftChars="0"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应按有关法规的要求，严格执行排污许可制度。</w:t>
            </w:r>
          </w:p>
          <w:p w14:paraId="4B2DBBAD">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left="0" w:leftChars="0" w:firstLine="480" w:firstLineChars="200"/>
              <w:textAlignment w:val="auto"/>
              <w:rPr>
                <w:rFonts w:ascii="Times New Roman" w:hAnsi="Times New Roman" w:eastAsia="宋体"/>
                <w:color w:val="000000" w:themeColor="text1"/>
                <w:sz w:val="24"/>
                <w:szCs w:val="24"/>
                <w:highlight w:val="none"/>
                <w14:textFill>
                  <w14:solidFill>
                    <w14:schemeClr w14:val="tx1"/>
                  </w14:solidFill>
                </w14:textFill>
              </w:rPr>
            </w:pPr>
            <w:r>
              <w:rPr>
                <w:rFonts w:ascii="Times New Roman" w:hAnsi="Times New Roman" w:eastAsia="宋体"/>
                <w:color w:val="000000" w:themeColor="text1"/>
                <w:sz w:val="24"/>
                <w:szCs w:val="24"/>
                <w:highlight w:val="none"/>
                <w14:textFill>
                  <w14:solidFill>
                    <w14:schemeClr w14:val="tx1"/>
                  </w14:solidFill>
                </w14:textFill>
              </w:rPr>
              <w:t>项目的性质、规模、地点、采用的生产工艺或者防治污染、防止生态破坏的措施发生重大变动的应当重新报批环境影响报告表。</w:t>
            </w:r>
          </w:p>
          <w:p w14:paraId="40CD129B">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3</w:t>
            </w:r>
            <w:r>
              <w:rPr>
                <w:rFonts w:ascii="Times New Roman" w:hAnsi="Times New Roman" w:eastAsia="宋体"/>
                <w:color w:val="000000" w:themeColor="text1"/>
                <w:sz w:val="24"/>
                <w:szCs w:val="24"/>
                <w:highlight w:val="none"/>
                <w14:textFill>
                  <w14:solidFill>
                    <w14:schemeClr w14:val="tx1"/>
                  </w14:solidFill>
                </w14:textFill>
              </w:rPr>
              <w:t>、</w:t>
            </w:r>
            <w:r>
              <w:rPr>
                <w:rFonts w:hint="eastAsia" w:ascii="Times New Roman" w:hAnsi="Times New Roman" w:eastAsia="宋体"/>
                <w:color w:val="000000" w:themeColor="text1"/>
                <w:sz w:val="24"/>
                <w:szCs w:val="24"/>
                <w:highlight w:val="none"/>
                <w14:textFill>
                  <w14:solidFill>
                    <w14:schemeClr w14:val="tx1"/>
                  </w14:solidFill>
                </w14:textFill>
              </w:rPr>
              <w:t>加强污染物处理设施维护和管理工作，确保环保设施连续稳定运行，确保污染物达标排放</w:t>
            </w:r>
            <w:r>
              <w:rPr>
                <w:rFonts w:ascii="Times New Roman" w:hAnsi="Times New Roman" w:eastAsia="宋体"/>
                <w:color w:val="000000" w:themeColor="text1"/>
                <w:sz w:val="24"/>
                <w:szCs w:val="24"/>
                <w:highlight w:val="none"/>
                <w14:textFill>
                  <w14:solidFill>
                    <w14:schemeClr w14:val="tx1"/>
                  </w14:solidFill>
                </w14:textFill>
              </w:rPr>
              <w:t>。</w:t>
            </w:r>
          </w:p>
          <w:p w14:paraId="6007766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eastAsia" w:ascii="Times New Roman" w:hAnsi="Times New Roman" w:eastAsia="宋体"/>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4、环境监测计划</w:t>
            </w:r>
          </w:p>
          <w:p w14:paraId="4E6C37DC">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环境监测的目的是为监测项目施工及营运中各项环保措施的落实情况，并根据监测结果及时调整环保计划，有关监测计划见下表：</w:t>
            </w:r>
          </w:p>
          <w:p w14:paraId="45D9B8CB">
            <w:pPr>
              <w:numPr>
                <w:ilvl w:val="0"/>
                <w:numId w:val="0"/>
              </w:numPr>
              <w:adjustRightInd w:val="0"/>
              <w:snapToGrid w:val="0"/>
              <w:ind w:firstLine="422" w:firstLineChars="20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表5-1</w:t>
            </w: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环境监测计划一览表</w:t>
            </w:r>
          </w:p>
          <w:tbl>
            <w:tblPr>
              <w:tblStyle w:val="21"/>
              <w:tblW w:w="49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364"/>
              <w:gridCol w:w="2001"/>
              <w:gridCol w:w="2796"/>
              <w:gridCol w:w="1353"/>
            </w:tblGrid>
            <w:tr w14:paraId="53D348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01" w:type="dxa"/>
                  <w:tcBorders>
                    <w:tl2br w:val="nil"/>
                    <w:tr2bl w:val="nil"/>
                  </w:tcBorders>
                  <w:noWrap w:val="0"/>
                  <w:vAlign w:val="center"/>
                </w:tcPr>
                <w:p w14:paraId="2236A7DD">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监测项目</w:t>
                  </w:r>
                </w:p>
              </w:tc>
              <w:tc>
                <w:tcPr>
                  <w:tcW w:w="1763" w:type="dxa"/>
                  <w:tcBorders>
                    <w:tl2br w:val="nil"/>
                    <w:tr2bl w:val="nil"/>
                  </w:tcBorders>
                  <w:noWrap w:val="0"/>
                  <w:vAlign w:val="center"/>
                </w:tcPr>
                <w:p w14:paraId="11CDE35E">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监测因子</w:t>
                  </w:r>
                </w:p>
              </w:tc>
              <w:tc>
                <w:tcPr>
                  <w:tcW w:w="2462" w:type="dxa"/>
                  <w:tcBorders>
                    <w:tl2br w:val="nil"/>
                    <w:tr2bl w:val="nil"/>
                  </w:tcBorders>
                  <w:noWrap w:val="0"/>
                  <w:vAlign w:val="center"/>
                </w:tcPr>
                <w:p w14:paraId="4A02898E">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监测点位</w:t>
                  </w:r>
                </w:p>
              </w:tc>
              <w:tc>
                <w:tcPr>
                  <w:tcW w:w="1192" w:type="dxa"/>
                  <w:tcBorders>
                    <w:tl2br w:val="nil"/>
                    <w:tr2bl w:val="nil"/>
                  </w:tcBorders>
                  <w:noWrap w:val="0"/>
                  <w:vAlign w:val="center"/>
                </w:tcPr>
                <w:p w14:paraId="757581ED">
                  <w:pPr>
                    <w:numPr>
                      <w:ilvl w:val="0"/>
                      <w:numId w:val="0"/>
                    </w:numPr>
                    <w:adjustRightInd w:val="0"/>
                    <w:snapToGrid w:val="0"/>
                    <w:jc w:val="cente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监测频次</w:t>
                  </w:r>
                </w:p>
              </w:tc>
            </w:tr>
            <w:tr w14:paraId="70D56F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01" w:type="dxa"/>
                  <w:tcBorders>
                    <w:tl2br w:val="nil"/>
                    <w:tr2bl w:val="nil"/>
                  </w:tcBorders>
                  <w:noWrap w:val="0"/>
                  <w:vAlign w:val="center"/>
                </w:tcPr>
                <w:p w14:paraId="2B8571CB">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废气</w:t>
                  </w:r>
                </w:p>
              </w:tc>
              <w:tc>
                <w:tcPr>
                  <w:tcW w:w="1763" w:type="dxa"/>
                  <w:tcBorders>
                    <w:tl2br w:val="nil"/>
                    <w:tr2bl w:val="nil"/>
                  </w:tcBorders>
                  <w:noWrap w:val="0"/>
                  <w:vAlign w:val="center"/>
                </w:tcPr>
                <w:p w14:paraId="3C9434D6">
                  <w:pPr>
                    <w:numPr>
                      <w:ilvl w:val="0"/>
                      <w:numId w:val="0"/>
                    </w:numPr>
                    <w:adjustRightInd w:val="0"/>
                    <w:snapToGrid w:val="0"/>
                    <w:ind w:left="0" w:leftChars="0" w:firstLine="0" w:firstLine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颗粒物（无组织）</w:t>
                  </w:r>
                </w:p>
              </w:tc>
              <w:tc>
                <w:tcPr>
                  <w:tcW w:w="2462" w:type="dxa"/>
                  <w:tcBorders>
                    <w:tl2br w:val="nil"/>
                    <w:tr2bl w:val="nil"/>
                  </w:tcBorders>
                  <w:noWrap w:val="0"/>
                  <w:vAlign w:val="center"/>
                </w:tcPr>
                <w:p w14:paraId="1A168DAA">
                  <w:pPr>
                    <w:numPr>
                      <w:ilvl w:val="0"/>
                      <w:numId w:val="0"/>
                    </w:numPr>
                    <w:adjustRightInd w:val="0"/>
                    <w:snapToGrid w:val="0"/>
                    <w:ind w:left="0" w:leftChars="0" w:firstLine="0" w:firstLine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厂界</w:t>
                  </w:r>
                </w:p>
              </w:tc>
              <w:tc>
                <w:tcPr>
                  <w:tcW w:w="1192" w:type="dxa"/>
                  <w:tcBorders>
                    <w:tl2br w:val="nil"/>
                    <w:tr2bl w:val="nil"/>
                  </w:tcBorders>
                  <w:noWrap w:val="0"/>
                  <w:vAlign w:val="center"/>
                </w:tcPr>
                <w:p w14:paraId="1F20CE8A">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1次/半年</w:t>
                  </w:r>
                </w:p>
              </w:tc>
            </w:tr>
            <w:tr w14:paraId="43B5E4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01" w:type="dxa"/>
                  <w:tcBorders>
                    <w:tl2br w:val="nil"/>
                    <w:tr2bl w:val="nil"/>
                  </w:tcBorders>
                  <w:noWrap w:val="0"/>
                  <w:vAlign w:val="center"/>
                </w:tcPr>
                <w:p w14:paraId="401245E6">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噪声</w:t>
                  </w:r>
                </w:p>
              </w:tc>
              <w:tc>
                <w:tcPr>
                  <w:tcW w:w="1763" w:type="dxa"/>
                  <w:tcBorders>
                    <w:tl2br w:val="nil"/>
                    <w:tr2bl w:val="nil"/>
                  </w:tcBorders>
                  <w:noWrap w:val="0"/>
                  <w:vAlign w:val="center"/>
                </w:tcPr>
                <w:p w14:paraId="166C7C0C">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噪声dB（A）</w:t>
                  </w:r>
                </w:p>
              </w:tc>
              <w:tc>
                <w:tcPr>
                  <w:tcW w:w="2462" w:type="dxa"/>
                  <w:tcBorders>
                    <w:tl2br w:val="nil"/>
                    <w:tr2bl w:val="nil"/>
                  </w:tcBorders>
                  <w:noWrap w:val="0"/>
                  <w:vAlign w:val="center"/>
                </w:tcPr>
                <w:p w14:paraId="48D6F741">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厂界四周</w:t>
                  </w:r>
                </w:p>
              </w:tc>
              <w:tc>
                <w:tcPr>
                  <w:tcW w:w="1192" w:type="dxa"/>
                  <w:tcBorders>
                    <w:tl2br w:val="nil"/>
                    <w:tr2bl w:val="nil"/>
                  </w:tcBorders>
                  <w:noWrap w:val="0"/>
                  <w:vAlign w:val="center"/>
                </w:tcPr>
                <w:p w14:paraId="7357B3D3">
                  <w:pPr>
                    <w:numPr>
                      <w:ilvl w:val="0"/>
                      <w:numId w:val="0"/>
                    </w:numPr>
                    <w:adjustRightInd w:val="0"/>
                    <w:snapToGrid w:val="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每季度1次</w:t>
                  </w:r>
                </w:p>
              </w:tc>
            </w:tr>
          </w:tbl>
          <w:p w14:paraId="3DFFE24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2303AA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27960D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FA058DF">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B63812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CD3916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67EDE7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AD7739B">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FADB29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FA6F43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1CC20F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B7962F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57B6A6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899400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E5441E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861B9C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4B7EE4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990C2E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77ABCB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B908D0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86A6DC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DE2747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D8FB11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A36609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29AC202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72D16ED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FE2E9F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textAlignment w:val="auto"/>
              <w:rPr>
                <w:rFonts w:hint="eastAsia" w:ascii="Times New Roman" w:hAnsi="Times New Roman" w:eastAsia="宋体"/>
                <w:color w:val="000000" w:themeColor="text1"/>
                <w:sz w:val="24"/>
                <w:szCs w:val="24"/>
                <w:highlight w:val="none"/>
                <w:lang w:eastAsia="zh-CN"/>
                <w14:textFill>
                  <w14:solidFill>
                    <w14:schemeClr w14:val="tx1"/>
                  </w14:solidFill>
                </w14:textFill>
              </w:rPr>
            </w:pPr>
          </w:p>
        </w:tc>
      </w:tr>
    </w:tbl>
    <w:p w14:paraId="0E6822B8">
      <w:pPr>
        <w:pStyle w:val="29"/>
        <w:rPr>
          <w:color w:val="000000" w:themeColor="text1"/>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34C85AD3">
      <w:pPr>
        <w:spacing w:before="156" w:beforeLines="50" w:after="156" w:afterLines="50"/>
        <w:jc w:val="center"/>
        <w:outlineLvl w:val="0"/>
        <w:rPr>
          <w:rFonts w:ascii="Times New Roman" w:hAnsi="Times New Roman" w:eastAsia="宋体"/>
          <w:b/>
          <w:bCs/>
          <w:snapToGrid w:val="0"/>
          <w:color w:val="000000" w:themeColor="text1"/>
          <w:kern w:val="0"/>
          <w:sz w:val="36"/>
          <w:szCs w:val="32"/>
          <w:highlight w:val="none"/>
          <w14:textFill>
            <w14:solidFill>
              <w14:schemeClr w14:val="tx1"/>
            </w14:solidFill>
          </w14:textFill>
        </w:rPr>
      </w:pPr>
      <w:bookmarkStart w:id="18" w:name="_Toc80643347"/>
      <w:r>
        <w:rPr>
          <w:rFonts w:hint="eastAsia" w:ascii="Times New Roman" w:hAnsi="Times New Roman" w:eastAsia="宋体"/>
          <w:b/>
          <w:bCs/>
          <w:snapToGrid w:val="0"/>
          <w:color w:val="000000" w:themeColor="text1"/>
          <w:kern w:val="0"/>
          <w:sz w:val="36"/>
          <w:szCs w:val="32"/>
          <w:highlight w:val="none"/>
          <w14:textFill>
            <w14:solidFill>
              <w14:schemeClr w14:val="tx1"/>
            </w14:solidFill>
          </w14:textFill>
        </w:rPr>
        <w:t>六</w:t>
      </w:r>
      <w:r>
        <w:rPr>
          <w:rFonts w:ascii="Times New Roman" w:hAnsi="Times New Roman" w:eastAsia="宋体"/>
          <w:b/>
          <w:bCs/>
          <w:snapToGrid w:val="0"/>
          <w:color w:val="000000" w:themeColor="text1"/>
          <w:kern w:val="0"/>
          <w:sz w:val="36"/>
          <w:szCs w:val="32"/>
          <w:highlight w:val="none"/>
          <w14:textFill>
            <w14:solidFill>
              <w14:schemeClr w14:val="tx1"/>
            </w14:solidFill>
          </w14:textFill>
        </w:rPr>
        <w:t>、结论</w:t>
      </w:r>
      <w:bookmarkEnd w:id="18"/>
    </w:p>
    <w:tbl>
      <w:tblPr>
        <w:tblStyle w:val="20"/>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77E245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349" w:hRule="atLeast"/>
          <w:jc w:val="center"/>
        </w:trPr>
        <w:tc>
          <w:tcPr>
            <w:tcW w:w="5000" w:type="pct"/>
          </w:tcPr>
          <w:p w14:paraId="5F8A4C12">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r>
              <w:rPr>
                <w:rFonts w:hint="eastAsia" w:ascii="Times New Roman" w:hAnsi="Times New Roman" w:eastAsia="宋体"/>
                <w:color w:val="000000" w:themeColor="text1"/>
                <w:sz w:val="24"/>
                <w:szCs w:val="24"/>
                <w:highlight w:val="none"/>
                <w:lang w:eastAsia="zh-CN"/>
                <w14:textFill>
                  <w14:solidFill>
                    <w14:schemeClr w14:val="tx1"/>
                  </w14:solidFill>
                </w14:textFill>
              </w:rPr>
              <w:t>中交第三航务工程局有限公司</w:t>
            </w:r>
            <w:r>
              <w:rPr>
                <w:rFonts w:hint="eastAsia" w:ascii="Times New Roman" w:hAnsi="Times New Roman" w:eastAsia="宋体"/>
                <w:color w:val="000000" w:themeColor="text1"/>
                <w:sz w:val="24"/>
                <w:szCs w:val="24"/>
                <w:highlight w:val="none"/>
                <w14:textFill>
                  <w14:solidFill>
                    <w14:schemeClr w14:val="tx1"/>
                  </w14:solidFill>
                </w14:textFill>
              </w:rPr>
              <w:t>在</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四川蓬溪经济开发区（火车站工业聚居区）莲花社区一社</w:t>
            </w:r>
            <w:r>
              <w:rPr>
                <w:rFonts w:hint="eastAsia" w:ascii="Times New Roman" w:hAnsi="Times New Roman" w:eastAsia="宋体"/>
                <w:color w:val="000000" w:themeColor="text1"/>
                <w:sz w:val="24"/>
                <w:szCs w:val="24"/>
                <w:highlight w:val="none"/>
                <w14:textFill>
                  <w14:solidFill>
                    <w14:schemeClr w14:val="tx1"/>
                  </w14:solidFill>
                </w14:textFill>
              </w:rPr>
              <w:t>投资</w:t>
            </w:r>
            <w:r>
              <w:rPr>
                <w:rFonts w:hint="eastAsia" w:ascii="Times New Roman" w:hAnsi="Times New Roman" w:eastAsia="宋体"/>
                <w:color w:val="000000" w:themeColor="text1"/>
                <w:sz w:val="24"/>
                <w:szCs w:val="24"/>
                <w:highlight w:val="none"/>
                <w:lang w:val="en-US" w:eastAsia="zh-CN"/>
                <w14:textFill>
                  <w14:solidFill>
                    <w14:schemeClr w14:val="tx1"/>
                  </w14:solidFill>
                </w14:textFill>
              </w:rPr>
              <w:t>1350</w:t>
            </w:r>
            <w:r>
              <w:rPr>
                <w:rFonts w:hint="eastAsia" w:ascii="Times New Roman" w:hAnsi="Times New Roman" w:eastAsia="宋体"/>
                <w:color w:val="000000" w:themeColor="text1"/>
                <w:sz w:val="24"/>
                <w:szCs w:val="24"/>
                <w:highlight w:val="none"/>
                <w14:textFill>
                  <w14:solidFill>
                    <w14:schemeClr w14:val="tx1"/>
                  </w14:solidFill>
                </w14:textFill>
              </w:rPr>
              <w:t>万元建设的“</w:t>
            </w:r>
            <w:r>
              <w:rPr>
                <w:rFonts w:hint="eastAsia" w:ascii="Times New Roman" w:hAnsi="Times New Roman" w:eastAsia="宋体"/>
                <w:color w:val="000000" w:themeColor="text1"/>
                <w:sz w:val="24"/>
                <w:szCs w:val="24"/>
                <w:highlight w:val="none"/>
                <w:lang w:eastAsia="zh-CN"/>
                <w14:textFill>
                  <w14:solidFill>
                    <w14:schemeClr w14:val="tx1"/>
                  </w14:solidFill>
                </w14:textFill>
              </w:rPr>
              <w:t>南充至成都高速公路扩容工程LJ5标段3#站</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符合</w:t>
            </w:r>
            <w:r>
              <w:rPr>
                <w:rFonts w:hint="eastAsia" w:ascii="Times New Roman" w:hAnsi="Times New Roman" w:eastAsia="宋体"/>
                <w:color w:val="000000" w:themeColor="text1"/>
                <w:sz w:val="24"/>
                <w:szCs w:val="24"/>
                <w:highlight w:val="none"/>
                <w14:textFill>
                  <w14:solidFill>
                    <w14:schemeClr w14:val="tx1"/>
                  </w14:solidFill>
                </w14:textFill>
              </w:rPr>
              <w:t>国家和地方现行的产业政策</w:t>
            </w:r>
            <w:r>
              <w:rPr>
                <w:rFonts w:ascii="Times New Roman" w:hAnsi="Times New Roman" w:eastAsia="宋体"/>
                <w:color w:val="000000" w:themeColor="text1"/>
                <w:sz w:val="24"/>
                <w:szCs w:val="24"/>
                <w:highlight w:val="none"/>
                <w14:textFill>
                  <w14:solidFill>
                    <w14:schemeClr w14:val="tx1"/>
                  </w14:solidFill>
                </w14:textFill>
              </w:rPr>
              <w:t>，符合当地规划及</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三线一单</w:t>
            </w:r>
            <w:r>
              <w:rPr>
                <w:rFonts w:hint="eastAsia" w:ascii="Times New Roman" w:hAnsi="Times New Roman" w:eastAsia="宋体"/>
                <w:color w:val="000000" w:themeColor="text1"/>
                <w:sz w:val="24"/>
                <w:szCs w:val="24"/>
                <w:highlight w:val="none"/>
                <w14:textFill>
                  <w14:solidFill>
                    <w14:schemeClr w14:val="tx1"/>
                  </w14:solidFill>
                </w14:textFill>
              </w:rPr>
              <w:t>”</w:t>
            </w:r>
            <w:r>
              <w:rPr>
                <w:rFonts w:ascii="Times New Roman" w:hAnsi="Times New Roman" w:eastAsia="宋体"/>
                <w:color w:val="000000" w:themeColor="text1"/>
                <w:sz w:val="24"/>
                <w:szCs w:val="24"/>
                <w:highlight w:val="none"/>
                <w14:textFill>
                  <w14:solidFill>
                    <w14:schemeClr w14:val="tx1"/>
                  </w14:solidFill>
                </w14:textFill>
              </w:rPr>
              <w:t>要求，选址</w:t>
            </w:r>
            <w:r>
              <w:rPr>
                <w:rFonts w:hint="eastAsia" w:ascii="Times New Roman" w:hAnsi="Times New Roman" w:eastAsia="宋体"/>
                <w:color w:val="000000" w:themeColor="text1"/>
                <w:sz w:val="24"/>
                <w:szCs w:val="24"/>
                <w:highlight w:val="none"/>
                <w14:textFill>
                  <w14:solidFill>
                    <w14:schemeClr w14:val="tx1"/>
                  </w14:solidFill>
                </w14:textFill>
              </w:rPr>
              <w:t>及</w:t>
            </w:r>
            <w:r>
              <w:rPr>
                <w:rFonts w:ascii="Times New Roman" w:hAnsi="Times New Roman" w:eastAsia="宋体"/>
                <w:color w:val="000000" w:themeColor="text1"/>
                <w:sz w:val="24"/>
                <w:szCs w:val="24"/>
                <w:highlight w:val="none"/>
                <w14:textFill>
                  <w14:solidFill>
                    <w14:schemeClr w14:val="tx1"/>
                  </w14:solidFill>
                </w14:textFill>
              </w:rPr>
              <w:t>平面布置合理。项目污染防治措施有效、可行，各污染物均能实现达标排放或合理处置，对周围环境的污染影响较小。因此，在保证污染防治措施有效实施的基础上，并采纳上述建议后，从环境保护的角度分析，本评价认为该项目的建设可行。</w:t>
            </w:r>
          </w:p>
          <w:p w14:paraId="093F0A09">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6A3B5310">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67BDC528">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6566F63B">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388C2029">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5538868C">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0C0BDDF5">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213107E0">
            <w:pPr>
              <w:spacing w:line="500" w:lineRule="exact"/>
              <w:ind w:firstLine="480" w:firstLineChars="200"/>
              <w:rPr>
                <w:rFonts w:ascii="Times New Roman" w:hAnsi="Times New Roman" w:eastAsia="宋体"/>
                <w:color w:val="000000" w:themeColor="text1"/>
                <w:sz w:val="24"/>
                <w:szCs w:val="24"/>
                <w:highlight w:val="none"/>
                <w14:textFill>
                  <w14:solidFill>
                    <w14:schemeClr w14:val="tx1"/>
                  </w14:solidFill>
                </w14:textFill>
              </w:rPr>
            </w:pPr>
          </w:p>
          <w:p w14:paraId="0E6430C5">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9CF02D6">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6CE1F24">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469CBE54">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0D84FB1A">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8FBB0AA">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6554FAB">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6D4FDF9E">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38957A34">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1663B7DC">
            <w:pPr>
              <w:spacing w:line="500" w:lineRule="exact"/>
              <w:ind w:firstLine="480" w:firstLineChars="200"/>
              <w:rPr>
                <w:rFonts w:hint="eastAsia" w:ascii="Times New Roman" w:hAnsi="Times New Roman" w:eastAsia="宋体"/>
                <w:color w:val="000000" w:themeColor="text1"/>
                <w:sz w:val="24"/>
                <w:szCs w:val="24"/>
                <w:highlight w:val="none"/>
                <w:lang w:eastAsia="zh-CN"/>
                <w14:textFill>
                  <w14:solidFill>
                    <w14:schemeClr w14:val="tx1"/>
                  </w14:solidFill>
                </w14:textFill>
              </w:rPr>
            </w:pPr>
          </w:p>
          <w:p w14:paraId="513387DE">
            <w:pPr>
              <w:adjustRightInd w:val="0"/>
              <w:snapToGrid w:val="0"/>
              <w:spacing w:before="312" w:beforeLines="100"/>
              <w:rPr>
                <w:rFonts w:hint="eastAsia" w:ascii="Times New Roman" w:hAnsi="Times New Roman" w:eastAsia="宋体"/>
                <w:color w:val="000000" w:themeColor="text1"/>
                <w:szCs w:val="21"/>
                <w:highlight w:val="none"/>
                <w:lang w:eastAsia="zh-CN"/>
                <w14:textFill>
                  <w14:solidFill>
                    <w14:schemeClr w14:val="tx1"/>
                  </w14:solidFill>
                </w14:textFill>
              </w:rPr>
            </w:pPr>
          </w:p>
        </w:tc>
      </w:tr>
    </w:tbl>
    <w:p w14:paraId="774D7C7C">
      <w:pPr>
        <w:pStyle w:val="31"/>
        <w:ind w:firstLine="562"/>
        <w:rPr>
          <w:color w:val="000000" w:themeColor="text1"/>
          <w:highlight w:val="none"/>
          <w14:textFill>
            <w14:solidFill>
              <w14:schemeClr w14:val="tx1"/>
            </w14:solidFill>
          </w14:textFill>
        </w:rPr>
        <w:sectPr>
          <w:pgSz w:w="11906" w:h="16838"/>
          <w:pgMar w:top="1417" w:right="1474" w:bottom="1417" w:left="1474"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2A71631F">
      <w:pPr>
        <w:pStyle w:val="17"/>
        <w:widowControl/>
        <w:adjustRightInd w:val="0"/>
        <w:snapToGrid w:val="0"/>
        <w:outlineLvl w:val="0"/>
        <w:rPr>
          <w:rFonts w:ascii="Times New Roman" w:hAnsi="Times New Roman" w:eastAsia="宋体"/>
          <w:b/>
          <w:bCs/>
          <w:snapToGrid w:val="0"/>
          <w:color w:val="000000" w:themeColor="text1"/>
          <w:sz w:val="32"/>
          <w:szCs w:val="32"/>
          <w:highlight w:val="none"/>
          <w14:textFill>
            <w14:solidFill>
              <w14:schemeClr w14:val="tx1"/>
            </w14:solidFill>
          </w14:textFill>
        </w:rPr>
      </w:pPr>
      <w:bookmarkStart w:id="19" w:name="_Toc19732"/>
      <w:bookmarkStart w:id="20" w:name="_Toc6031"/>
      <w:r>
        <w:rPr>
          <w:rFonts w:ascii="Times New Roman" w:hAnsi="Times New Roman" w:eastAsia="宋体"/>
          <w:b/>
          <w:bCs/>
          <w:snapToGrid w:val="0"/>
          <w:color w:val="000000" w:themeColor="text1"/>
          <w:sz w:val="32"/>
          <w:szCs w:val="32"/>
          <w:highlight w:val="none"/>
          <w14:textFill>
            <w14:solidFill>
              <w14:schemeClr w14:val="tx1"/>
            </w14:solidFill>
          </w14:textFill>
        </w:rPr>
        <w:t>附表</w:t>
      </w:r>
      <w:bookmarkEnd w:id="19"/>
      <w:bookmarkEnd w:id="20"/>
    </w:p>
    <w:p w14:paraId="76E0F9C2">
      <w:pPr>
        <w:pStyle w:val="17"/>
        <w:widowControl/>
        <w:adjustRightInd w:val="0"/>
        <w:snapToGrid w:val="0"/>
        <w:jc w:val="center"/>
        <w:outlineLvl w:val="0"/>
        <w:rPr>
          <w:rFonts w:ascii="Times New Roman" w:hAnsi="Times New Roman" w:eastAsia="宋体"/>
          <w:b/>
          <w:bCs/>
          <w:snapToGrid w:val="0"/>
          <w:color w:val="000000" w:themeColor="text1"/>
          <w:sz w:val="38"/>
          <w:szCs w:val="38"/>
          <w:highlight w:val="none"/>
          <w14:textFill>
            <w14:solidFill>
              <w14:schemeClr w14:val="tx1"/>
            </w14:solidFill>
          </w14:textFill>
        </w:rPr>
      </w:pPr>
      <w:bookmarkStart w:id="21" w:name="_Toc37"/>
      <w:bookmarkStart w:id="22" w:name="_Toc8009"/>
      <w:r>
        <w:rPr>
          <w:rFonts w:ascii="Times New Roman" w:hAnsi="Times New Roman" w:eastAsia="宋体"/>
          <w:b/>
          <w:bCs/>
          <w:snapToGrid w:val="0"/>
          <w:color w:val="000000" w:themeColor="text1"/>
          <w:sz w:val="38"/>
          <w:szCs w:val="38"/>
          <w:highlight w:val="none"/>
          <w14:textFill>
            <w14:solidFill>
              <w14:schemeClr w14:val="tx1"/>
            </w14:solidFill>
          </w14:textFill>
        </w:rPr>
        <w:t>建设项目污染物排放量汇总表</w:t>
      </w:r>
      <w:bookmarkEnd w:id="21"/>
      <w:bookmarkEnd w:id="22"/>
    </w:p>
    <w:tbl>
      <w:tblPr>
        <w:tblStyle w:val="20"/>
        <w:tblW w:w="1378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1106"/>
        <w:gridCol w:w="2025"/>
        <w:gridCol w:w="1575"/>
        <w:gridCol w:w="1276"/>
        <w:gridCol w:w="1701"/>
        <w:gridCol w:w="1559"/>
        <w:gridCol w:w="1761"/>
        <w:gridCol w:w="1568"/>
        <w:gridCol w:w="1217"/>
      </w:tblGrid>
      <w:tr w14:paraId="07D15F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tcBorders>
              <w:tl2br w:val="single" w:color="auto" w:sz="4" w:space="0"/>
            </w:tcBorders>
            <w:tcMar>
              <w:left w:w="28" w:type="dxa"/>
              <w:right w:w="28" w:type="dxa"/>
            </w:tcMar>
            <w:vAlign w:val="center"/>
          </w:tcPr>
          <w:p w14:paraId="26378D75">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jc w:val="right"/>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项目</w:t>
            </w:r>
          </w:p>
          <w:p w14:paraId="27953756">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jc w:val="left"/>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分类</w:t>
            </w:r>
          </w:p>
        </w:tc>
        <w:tc>
          <w:tcPr>
            <w:tcW w:w="2025" w:type="dxa"/>
            <w:tcMar>
              <w:left w:w="28" w:type="dxa"/>
              <w:right w:w="28" w:type="dxa"/>
            </w:tcMar>
            <w:vAlign w:val="center"/>
          </w:tcPr>
          <w:p w14:paraId="2CF9423C">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污染物名称</w:t>
            </w:r>
          </w:p>
        </w:tc>
        <w:tc>
          <w:tcPr>
            <w:tcW w:w="1575" w:type="dxa"/>
            <w:tcMar>
              <w:left w:w="28" w:type="dxa"/>
              <w:right w:w="28" w:type="dxa"/>
            </w:tcMar>
            <w:vAlign w:val="center"/>
          </w:tcPr>
          <w:p w14:paraId="582F3CBE">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现有工程</w:t>
            </w:r>
          </w:p>
          <w:p w14:paraId="5888F610">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排放量（固体废物产生量）</w:t>
            </w: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①</w:t>
            </w:r>
          </w:p>
        </w:tc>
        <w:tc>
          <w:tcPr>
            <w:tcW w:w="1276" w:type="dxa"/>
            <w:tcMar>
              <w:left w:w="28" w:type="dxa"/>
              <w:right w:w="28" w:type="dxa"/>
            </w:tcMar>
            <w:vAlign w:val="center"/>
          </w:tcPr>
          <w:p w14:paraId="0B754BCB">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现有工程</w:t>
            </w:r>
          </w:p>
          <w:p w14:paraId="31A30CD4">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许可排放量</w:t>
            </w:r>
          </w:p>
          <w:p w14:paraId="6D0BB8E9">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②</w:t>
            </w:r>
          </w:p>
        </w:tc>
        <w:tc>
          <w:tcPr>
            <w:tcW w:w="1701" w:type="dxa"/>
            <w:tcMar>
              <w:left w:w="28" w:type="dxa"/>
              <w:right w:w="28" w:type="dxa"/>
            </w:tcMar>
            <w:vAlign w:val="center"/>
          </w:tcPr>
          <w:p w14:paraId="0A3B5AA0">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在建工程</w:t>
            </w:r>
          </w:p>
          <w:p w14:paraId="555917A4">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排放量（固体废物产生量）</w:t>
            </w: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③</w:t>
            </w:r>
          </w:p>
        </w:tc>
        <w:tc>
          <w:tcPr>
            <w:tcW w:w="1559" w:type="dxa"/>
            <w:tcMar>
              <w:left w:w="28" w:type="dxa"/>
              <w:right w:w="28" w:type="dxa"/>
            </w:tcMar>
            <w:vAlign w:val="center"/>
          </w:tcPr>
          <w:p w14:paraId="2DF92149">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本项目</w:t>
            </w:r>
          </w:p>
          <w:p w14:paraId="29AE13E2">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排放量（固体废物产生量）</w:t>
            </w: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④</w:t>
            </w:r>
          </w:p>
        </w:tc>
        <w:tc>
          <w:tcPr>
            <w:tcW w:w="1761" w:type="dxa"/>
            <w:tcMar>
              <w:left w:w="28" w:type="dxa"/>
              <w:right w:w="28" w:type="dxa"/>
            </w:tcMar>
            <w:vAlign w:val="center"/>
          </w:tcPr>
          <w:p w14:paraId="2B601B13">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1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以新带老削减量</w:t>
            </w:r>
          </w:p>
          <w:p w14:paraId="750C5C6F">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（新建项目不填）</w:t>
            </w:r>
            <w:r>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t>⑤</w:t>
            </w:r>
          </w:p>
        </w:tc>
        <w:tc>
          <w:tcPr>
            <w:tcW w:w="1568" w:type="dxa"/>
            <w:tcMar>
              <w:left w:w="28" w:type="dxa"/>
              <w:right w:w="28" w:type="dxa"/>
            </w:tcMar>
            <w:vAlign w:val="center"/>
          </w:tcPr>
          <w:p w14:paraId="25ECC3A9">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1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本项目建成后</w:t>
            </w:r>
          </w:p>
          <w:p w14:paraId="0A0EA126">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pPr>
            <w:r>
              <w:rPr>
                <w:rFonts w:ascii="Times New Roman" w:hAnsi="Times New Roman" w:eastAsia="宋体"/>
                <w:b/>
                <w:bCs/>
                <w:snapToGrid w:val="0"/>
                <w:color w:val="000000" w:themeColor="text1"/>
                <w:spacing w:val="-16"/>
                <w:kern w:val="21"/>
                <w:szCs w:val="21"/>
                <w:highlight w:val="none"/>
                <w14:textFill>
                  <w14:solidFill>
                    <w14:schemeClr w14:val="tx1"/>
                  </w14:solidFill>
                </w14:textFill>
              </w:rPr>
              <w:t>全厂排放量（固体废物产生量）</w:t>
            </w:r>
            <w:r>
              <w:rPr>
                <w:rFonts w:hint="eastAsia" w:ascii="Times New Roman" w:hAnsi="Times New Roman" w:eastAsia="宋体"/>
                <w:b/>
                <w:bCs/>
                <w:snapToGrid w:val="0"/>
                <w:color w:val="000000" w:themeColor="text1"/>
                <w:spacing w:val="-16"/>
                <w:kern w:val="21"/>
                <w:szCs w:val="21"/>
                <w:highlight w:val="none"/>
                <w:lang w:eastAsia="zh-CN"/>
                <w14:textFill>
                  <w14:solidFill>
                    <w14:schemeClr w14:val="tx1"/>
                  </w14:solidFill>
                </w14:textFill>
              </w:rPr>
              <w:t>⑥</w:t>
            </w:r>
          </w:p>
        </w:tc>
        <w:tc>
          <w:tcPr>
            <w:tcW w:w="1217" w:type="dxa"/>
            <w:tcMar>
              <w:left w:w="28" w:type="dxa"/>
              <w:right w:w="28" w:type="dxa"/>
            </w:tcMar>
            <w:vAlign w:val="center"/>
          </w:tcPr>
          <w:p w14:paraId="169CA55D">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ascii="Times New Roman" w:hAnsi="Times New Roman" w:eastAsia="宋体"/>
                <w:b/>
                <w:bCs/>
                <w:snapToGrid w:val="0"/>
                <w:color w:val="000000" w:themeColor="text1"/>
                <w:spacing w:val="-6"/>
                <w:kern w:val="21"/>
                <w:szCs w:val="21"/>
                <w:highlight w:val="none"/>
                <w14:textFill>
                  <w14:solidFill>
                    <w14:schemeClr w14:val="tx1"/>
                  </w14:solidFill>
                </w14:textFill>
              </w:rPr>
            </w:pPr>
            <w:r>
              <w:rPr>
                <w:rFonts w:ascii="Times New Roman" w:hAnsi="Times New Roman" w:eastAsia="宋体"/>
                <w:b/>
                <w:bCs/>
                <w:snapToGrid w:val="0"/>
                <w:color w:val="000000" w:themeColor="text1"/>
                <w:spacing w:val="-6"/>
                <w:kern w:val="21"/>
                <w:szCs w:val="21"/>
                <w:highlight w:val="none"/>
                <w14:textFill>
                  <w14:solidFill>
                    <w14:schemeClr w14:val="tx1"/>
                  </w14:solidFill>
                </w14:textFill>
              </w:rPr>
              <w:t>变化量</w:t>
            </w:r>
          </w:p>
          <w:p w14:paraId="05722D5E">
            <w:pPr>
              <w:pStyle w:val="48"/>
              <w:keepNext w:val="0"/>
              <w:keepLines w:val="0"/>
              <w:pageBreakBefore w:val="0"/>
              <w:widowControl w:val="0"/>
              <w:kinsoku/>
              <w:wordWrap/>
              <w:overflowPunct/>
              <w:topLinePunct w:val="0"/>
              <w:autoSpaceDE/>
              <w:autoSpaceDN/>
              <w:bidi w:val="0"/>
              <w:adjustRightInd w:val="0"/>
              <w:snapToGrid w:val="0"/>
              <w:spacing w:beforeLines="0" w:afterLines="0" w:line="240" w:lineRule="auto"/>
              <w:textAlignment w:val="auto"/>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pPr>
            <w:r>
              <w:rPr>
                <w:rFonts w:hint="eastAsia" w:ascii="Times New Roman" w:hAnsi="Times New Roman" w:eastAsia="宋体"/>
                <w:b/>
                <w:bCs/>
                <w:snapToGrid w:val="0"/>
                <w:color w:val="000000" w:themeColor="text1"/>
                <w:spacing w:val="-6"/>
                <w:kern w:val="21"/>
                <w:szCs w:val="21"/>
                <w:highlight w:val="none"/>
                <w:lang w:eastAsia="zh-CN"/>
                <w14:textFill>
                  <w14:solidFill>
                    <w14:schemeClr w14:val="tx1"/>
                  </w14:solidFill>
                </w14:textFill>
              </w:rPr>
              <w:t>⑦</w:t>
            </w:r>
          </w:p>
        </w:tc>
      </w:tr>
      <w:tr w14:paraId="780327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Align w:val="center"/>
          </w:tcPr>
          <w:p w14:paraId="6D690F18">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废气</w:t>
            </w:r>
          </w:p>
        </w:tc>
        <w:tc>
          <w:tcPr>
            <w:tcW w:w="2025" w:type="dxa"/>
            <w:vAlign w:val="center"/>
          </w:tcPr>
          <w:p w14:paraId="7F0D076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TSP</w:t>
            </w:r>
          </w:p>
        </w:tc>
        <w:tc>
          <w:tcPr>
            <w:tcW w:w="1575" w:type="dxa"/>
            <w:vAlign w:val="center"/>
          </w:tcPr>
          <w:p w14:paraId="019EC8D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7F87BC6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4FEDB86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61510A2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17.0506</w:t>
            </w:r>
            <w:r>
              <w:rPr>
                <w:rFonts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0B6A0CAB">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2EF1090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2626D41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2A2114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restart"/>
            <w:vAlign w:val="center"/>
          </w:tcPr>
          <w:p w14:paraId="36F760BB">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废水</w:t>
            </w:r>
          </w:p>
        </w:tc>
        <w:tc>
          <w:tcPr>
            <w:tcW w:w="2025" w:type="dxa"/>
            <w:vAlign w:val="center"/>
          </w:tcPr>
          <w:p w14:paraId="0A7149D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COD</w:t>
            </w:r>
          </w:p>
        </w:tc>
        <w:tc>
          <w:tcPr>
            <w:tcW w:w="1575" w:type="dxa"/>
            <w:vAlign w:val="center"/>
          </w:tcPr>
          <w:p w14:paraId="393C064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0E6CA4C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39387EB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0EAEACD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2.016</w:t>
            </w:r>
            <w:r>
              <w:rPr>
                <w:rFonts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15EC5CD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3BF95F7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4FD5B16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24F21E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5263858A">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02350CD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氨氮</w:t>
            </w:r>
          </w:p>
        </w:tc>
        <w:tc>
          <w:tcPr>
            <w:tcW w:w="1575" w:type="dxa"/>
            <w:vAlign w:val="center"/>
          </w:tcPr>
          <w:p w14:paraId="15A98E6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2F2FD48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5EAA3EF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39907D0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0.181</w:t>
            </w:r>
            <w:r>
              <w:rPr>
                <w:rFonts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60844EF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70A8D7A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3C8D864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0166E4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restart"/>
            <w:vAlign w:val="center"/>
          </w:tcPr>
          <w:p w14:paraId="56935585">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一般工业</w:t>
            </w:r>
          </w:p>
          <w:p w14:paraId="6CF2E8B8">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固体废物</w:t>
            </w:r>
          </w:p>
        </w:tc>
        <w:tc>
          <w:tcPr>
            <w:tcW w:w="2025" w:type="dxa"/>
            <w:vAlign w:val="center"/>
          </w:tcPr>
          <w:p w14:paraId="0205C08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收尘系统收集的粉尘</w:t>
            </w:r>
          </w:p>
        </w:tc>
        <w:tc>
          <w:tcPr>
            <w:tcW w:w="1575" w:type="dxa"/>
            <w:vAlign w:val="center"/>
          </w:tcPr>
          <w:p w14:paraId="09A4440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62AE6F6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3616F93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752294F6">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58.58</w:t>
            </w:r>
            <w:r>
              <w:rPr>
                <w:rFonts w:hint="eastAsia"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6A64DE0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4A213658">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055E836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342BE0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77E6207E">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062CA1F2">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沉淀池污泥</w:t>
            </w: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（泥渣）</w:t>
            </w:r>
          </w:p>
        </w:tc>
        <w:tc>
          <w:tcPr>
            <w:tcW w:w="1575" w:type="dxa"/>
            <w:vAlign w:val="center"/>
          </w:tcPr>
          <w:p w14:paraId="7A74E75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7BA75170">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08C07C7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3B71EEBF">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46.4</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60498559">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2F206648">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4FBAD23B">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50ABB0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7A4AE34C">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00345360">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钢筋边角废料</w:t>
            </w:r>
          </w:p>
        </w:tc>
        <w:tc>
          <w:tcPr>
            <w:tcW w:w="1575" w:type="dxa"/>
            <w:vAlign w:val="center"/>
          </w:tcPr>
          <w:p w14:paraId="0164F1F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2E4874B1">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03A34A7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39B9DC69">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35t/a</w:t>
            </w:r>
          </w:p>
        </w:tc>
        <w:tc>
          <w:tcPr>
            <w:tcW w:w="1761" w:type="dxa"/>
            <w:vAlign w:val="center"/>
          </w:tcPr>
          <w:p w14:paraId="07A680E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3D4B0EAD">
            <w:pPr>
              <w:pStyle w:val="14"/>
              <w:pBdr>
                <w:bottom w:val="none" w:color="auto" w:sz="0" w:space="0"/>
              </w:pBdr>
              <w:tabs>
                <w:tab w:val="left" w:pos="435"/>
              </w:tabs>
              <w:spacing w:line="360" w:lineRule="atLeast"/>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p>
        </w:tc>
        <w:tc>
          <w:tcPr>
            <w:tcW w:w="1217" w:type="dxa"/>
            <w:vAlign w:val="center"/>
          </w:tcPr>
          <w:p w14:paraId="1024784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1085E2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4FC06B21">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370519A9">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硬化混凝土块</w:t>
            </w:r>
          </w:p>
        </w:tc>
        <w:tc>
          <w:tcPr>
            <w:tcW w:w="1575" w:type="dxa"/>
            <w:vAlign w:val="center"/>
          </w:tcPr>
          <w:p w14:paraId="1D31A7F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3BF8335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3FF8789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30AA07FE">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2.5t/a</w:t>
            </w:r>
          </w:p>
        </w:tc>
        <w:tc>
          <w:tcPr>
            <w:tcW w:w="1761" w:type="dxa"/>
            <w:vAlign w:val="center"/>
          </w:tcPr>
          <w:p w14:paraId="409AA8C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497C1E73">
            <w:pPr>
              <w:pStyle w:val="14"/>
              <w:pBdr>
                <w:bottom w:val="none" w:color="auto" w:sz="0" w:space="0"/>
              </w:pBdr>
              <w:tabs>
                <w:tab w:val="left" w:pos="435"/>
              </w:tabs>
              <w:spacing w:line="360" w:lineRule="atLeast"/>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p>
        </w:tc>
        <w:tc>
          <w:tcPr>
            <w:tcW w:w="1217" w:type="dxa"/>
            <w:vAlign w:val="center"/>
          </w:tcPr>
          <w:p w14:paraId="4256B27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2984C2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561FB310">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63C273B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生活垃圾</w:t>
            </w:r>
          </w:p>
        </w:tc>
        <w:tc>
          <w:tcPr>
            <w:tcW w:w="1575" w:type="dxa"/>
            <w:vAlign w:val="center"/>
          </w:tcPr>
          <w:p w14:paraId="70DF88CB">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58119DE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0A158948">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3DFD524B">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28</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5B43807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702CE340">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2CC37A13">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53F46A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3213F5BE">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2046D208">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餐厨垃圾</w:t>
            </w:r>
          </w:p>
        </w:tc>
        <w:tc>
          <w:tcPr>
            <w:tcW w:w="1575" w:type="dxa"/>
            <w:vAlign w:val="center"/>
          </w:tcPr>
          <w:p w14:paraId="7EF16BA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1AAF0677">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0164A0D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1ABFFDE3">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11.2</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662DE8D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292206D1">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2301CAF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4BD993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57267C2D">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676D35BC">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油水分离器废油脂</w:t>
            </w:r>
          </w:p>
        </w:tc>
        <w:tc>
          <w:tcPr>
            <w:tcW w:w="1575" w:type="dxa"/>
            <w:vAlign w:val="center"/>
          </w:tcPr>
          <w:p w14:paraId="0DD16A9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702F5EBF">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7C479515">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1871BD1F">
            <w:pPr>
              <w:pStyle w:val="14"/>
              <w:keepNext w:val="0"/>
              <w:keepLines w:val="0"/>
              <w:pageBreakBefore w:val="0"/>
              <w:widowControl w:val="0"/>
              <w:pBdr>
                <w:bottom w:val="none" w:color="auto" w:sz="0" w:space="0"/>
              </w:pBdr>
              <w:tabs>
                <w:tab w:val="left" w:pos="435"/>
              </w:tabs>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 w:val="21"/>
                <w:szCs w:val="21"/>
                <w:highlight w:val="none"/>
                <w:lang w:val="en-US" w:eastAsia="zh-CN"/>
                <w14:textFill>
                  <w14:solidFill>
                    <w14:schemeClr w14:val="tx1"/>
                  </w14:solidFill>
                </w14:textFill>
              </w:rPr>
              <w:t>0.224</w:t>
            </w:r>
            <w:r>
              <w:rPr>
                <w:rFonts w:ascii="Times New Roman" w:hAnsi="Times New Roman" w:eastAsia="宋体"/>
                <w:snapToGrid w:val="0"/>
                <w:color w:val="000000" w:themeColor="text1"/>
                <w:kern w:val="21"/>
                <w:sz w:val="21"/>
                <w:szCs w:val="21"/>
                <w:highlight w:val="none"/>
                <w14:textFill>
                  <w14:solidFill>
                    <w14:schemeClr w14:val="tx1"/>
                  </w14:solidFill>
                </w14:textFill>
              </w:rPr>
              <w:t>t/a</w:t>
            </w:r>
          </w:p>
        </w:tc>
        <w:tc>
          <w:tcPr>
            <w:tcW w:w="1761" w:type="dxa"/>
            <w:vAlign w:val="center"/>
          </w:tcPr>
          <w:p w14:paraId="77E77090">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16CD34C4">
            <w:pPr>
              <w:pStyle w:val="14"/>
              <w:pBdr>
                <w:bottom w:val="none" w:color="auto" w:sz="0" w:space="0"/>
              </w:pBdr>
              <w:tabs>
                <w:tab w:val="left" w:pos="435"/>
              </w:tabs>
              <w:spacing w:line="360" w:lineRule="atLeast"/>
              <w:rPr>
                <w:rFonts w:ascii="Times New Roman" w:hAnsi="Times New Roman" w:eastAsia="宋体"/>
                <w:snapToGrid w:val="0"/>
                <w:color w:val="000000" w:themeColor="text1"/>
                <w:kern w:val="21"/>
                <w:sz w:val="21"/>
                <w:szCs w:val="21"/>
                <w:highlight w:val="none"/>
                <w14:textFill>
                  <w14:solidFill>
                    <w14:schemeClr w14:val="tx1"/>
                  </w14:solidFill>
                </w14:textFill>
              </w:rPr>
            </w:pPr>
          </w:p>
        </w:tc>
        <w:tc>
          <w:tcPr>
            <w:tcW w:w="1217" w:type="dxa"/>
            <w:vAlign w:val="center"/>
          </w:tcPr>
          <w:p w14:paraId="183F64D4">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4BC531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restart"/>
            <w:vAlign w:val="center"/>
          </w:tcPr>
          <w:p w14:paraId="55AAA8FA">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危险废物</w:t>
            </w:r>
          </w:p>
        </w:tc>
        <w:tc>
          <w:tcPr>
            <w:tcW w:w="2025" w:type="dxa"/>
            <w:vAlign w:val="center"/>
          </w:tcPr>
          <w:p w14:paraId="53F62F30">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隔油沉淀池废油</w:t>
            </w:r>
          </w:p>
        </w:tc>
        <w:tc>
          <w:tcPr>
            <w:tcW w:w="1575" w:type="dxa"/>
            <w:vAlign w:val="center"/>
          </w:tcPr>
          <w:p w14:paraId="1DA8F14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4F7E6A5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0924CB5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4FCEA13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eastAsia="宋体"/>
                <w:snapToGrid w:val="0"/>
                <w:color w:val="000000" w:themeColor="text1"/>
                <w:kern w:val="21"/>
                <w:szCs w:val="21"/>
                <w:highlight w:val="none"/>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0.</w:t>
            </w: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57</w:t>
            </w:r>
            <w:r>
              <w:rPr>
                <w:rFonts w:hint="eastAsia" w:ascii="Times New Roman" w:hAnsi="Times New Roman" w:eastAsia="宋体"/>
                <w:snapToGrid w:val="0"/>
                <w:color w:val="000000" w:themeColor="text1"/>
                <w:kern w:val="21"/>
                <w:szCs w:val="21"/>
                <w:highlight w:val="none"/>
                <w14:textFill>
                  <w14:solidFill>
                    <w14:schemeClr w14:val="tx1"/>
                  </w14:solidFill>
                </w14:textFill>
              </w:rPr>
              <w:t>t/a</w:t>
            </w:r>
          </w:p>
        </w:tc>
        <w:tc>
          <w:tcPr>
            <w:tcW w:w="1761" w:type="dxa"/>
            <w:vAlign w:val="center"/>
          </w:tcPr>
          <w:p w14:paraId="0FCD131D">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03EB6DF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6BEACCF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2F6F37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23712744">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6C89035A">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14:textFill>
                  <w14:solidFill>
                    <w14:schemeClr w14:val="tx1"/>
                  </w14:solidFill>
                </w14:textFill>
              </w:rPr>
              <w:t>废矿物油</w:t>
            </w: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及废油桶</w:t>
            </w:r>
          </w:p>
        </w:tc>
        <w:tc>
          <w:tcPr>
            <w:tcW w:w="1575" w:type="dxa"/>
            <w:vAlign w:val="center"/>
          </w:tcPr>
          <w:p w14:paraId="3C3A3D32">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766C9126">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2E36549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17CEC75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0.8t/a</w:t>
            </w:r>
          </w:p>
        </w:tc>
        <w:tc>
          <w:tcPr>
            <w:tcW w:w="1761" w:type="dxa"/>
            <w:vAlign w:val="center"/>
          </w:tcPr>
          <w:p w14:paraId="1A357DCA">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529DD854">
            <w:pPr>
              <w:spacing w:line="360" w:lineRule="atLeast"/>
              <w:jc w:val="center"/>
              <w:rPr>
                <w:rFonts w:hint="eastAsia" w:ascii="Times New Roman" w:hAnsi="Times New Roman" w:eastAsia="宋体"/>
                <w:snapToGrid w:val="0"/>
                <w:color w:val="000000" w:themeColor="text1"/>
                <w:kern w:val="21"/>
                <w:szCs w:val="21"/>
                <w:highlight w:val="none"/>
                <w14:textFill>
                  <w14:solidFill>
                    <w14:schemeClr w14:val="tx1"/>
                  </w14:solidFill>
                </w14:textFill>
              </w:rPr>
            </w:pPr>
          </w:p>
        </w:tc>
        <w:tc>
          <w:tcPr>
            <w:tcW w:w="1217" w:type="dxa"/>
            <w:vAlign w:val="center"/>
          </w:tcPr>
          <w:p w14:paraId="0A2BCDD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r w14:paraId="5C6C09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106" w:type="dxa"/>
            <w:vMerge w:val="continue"/>
            <w:vAlign w:val="center"/>
          </w:tcPr>
          <w:p w14:paraId="0F5B59D7">
            <w:pPr>
              <w:pStyle w:val="48"/>
              <w:spacing w:beforeLines="0" w:afterLines="0" w:line="360" w:lineRule="atLeast"/>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2025" w:type="dxa"/>
            <w:vAlign w:val="center"/>
          </w:tcPr>
          <w:p w14:paraId="76B175AF">
            <w:pPr>
              <w:spacing w:line="360" w:lineRule="atLeast"/>
              <w:jc w:val="cente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eastAsia="zh-CN"/>
                <w14:textFill>
                  <w14:solidFill>
                    <w14:schemeClr w14:val="tx1"/>
                  </w14:solidFill>
                </w14:textFill>
              </w:rPr>
              <w:t>含油废棉纱、手套</w:t>
            </w:r>
          </w:p>
        </w:tc>
        <w:tc>
          <w:tcPr>
            <w:tcW w:w="1575" w:type="dxa"/>
            <w:vAlign w:val="center"/>
          </w:tcPr>
          <w:p w14:paraId="52D32CB0">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276" w:type="dxa"/>
            <w:vAlign w:val="center"/>
          </w:tcPr>
          <w:p w14:paraId="6FF1F1F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701" w:type="dxa"/>
            <w:vAlign w:val="center"/>
          </w:tcPr>
          <w:p w14:paraId="2AD9AF0C">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59" w:type="dxa"/>
            <w:vAlign w:val="center"/>
          </w:tcPr>
          <w:p w14:paraId="2D2FD0D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snapToGrid w:val="0"/>
                <w:color w:val="000000" w:themeColor="text1"/>
                <w:kern w:val="21"/>
                <w:szCs w:val="21"/>
                <w:highlight w:val="none"/>
                <w:lang w:val="en-US" w:eastAsia="zh-CN"/>
                <w14:textFill>
                  <w14:solidFill>
                    <w14:schemeClr w14:val="tx1"/>
                  </w14:solidFill>
                </w14:textFill>
              </w:rPr>
            </w:pPr>
            <w: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t>0.04t/a</w:t>
            </w:r>
          </w:p>
        </w:tc>
        <w:tc>
          <w:tcPr>
            <w:tcW w:w="1761" w:type="dxa"/>
            <w:vAlign w:val="center"/>
          </w:tcPr>
          <w:p w14:paraId="2828CD2E">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c>
          <w:tcPr>
            <w:tcW w:w="1568" w:type="dxa"/>
            <w:vAlign w:val="center"/>
          </w:tcPr>
          <w:p w14:paraId="189D52B9">
            <w:pPr>
              <w:spacing w:line="360" w:lineRule="atLeast"/>
              <w:jc w:val="center"/>
              <w:rPr>
                <w:rFonts w:hint="eastAsia" w:ascii="Times New Roman" w:hAnsi="Times New Roman" w:eastAsia="宋体"/>
                <w:snapToGrid w:val="0"/>
                <w:color w:val="000000" w:themeColor="text1"/>
                <w:kern w:val="21"/>
                <w:szCs w:val="21"/>
                <w:highlight w:val="none"/>
                <w:lang w:val="en-US" w:eastAsia="zh-CN"/>
                <w14:textFill>
                  <w14:solidFill>
                    <w14:schemeClr w14:val="tx1"/>
                  </w14:solidFill>
                </w14:textFill>
              </w:rPr>
            </w:pPr>
          </w:p>
        </w:tc>
        <w:tc>
          <w:tcPr>
            <w:tcW w:w="1217" w:type="dxa"/>
            <w:vAlign w:val="center"/>
          </w:tcPr>
          <w:p w14:paraId="7AA89DFB">
            <w:pPr>
              <w:spacing w:line="360" w:lineRule="atLeast"/>
              <w:jc w:val="center"/>
              <w:rPr>
                <w:rFonts w:ascii="Times New Roman" w:hAnsi="Times New Roman" w:eastAsia="宋体"/>
                <w:snapToGrid w:val="0"/>
                <w:color w:val="000000" w:themeColor="text1"/>
                <w:kern w:val="21"/>
                <w:szCs w:val="21"/>
                <w:highlight w:val="none"/>
                <w14:textFill>
                  <w14:solidFill>
                    <w14:schemeClr w14:val="tx1"/>
                  </w14:solidFill>
                </w14:textFill>
              </w:rPr>
            </w:pPr>
          </w:p>
        </w:tc>
      </w:tr>
    </w:tbl>
    <w:p w14:paraId="3C34F42F">
      <w:pPr>
        <w:pStyle w:val="48"/>
        <w:spacing w:before="192" w:beforeLines="80" w:after="24"/>
        <w:jc w:val="left"/>
        <w:rPr>
          <w:rFonts w:ascii="Times New Roman" w:hAnsi="Times New Roman" w:eastAsia="宋体"/>
          <w:color w:val="000000" w:themeColor="text1"/>
          <w:highlight w:val="none"/>
          <w14:textFill>
            <w14:solidFill>
              <w14:schemeClr w14:val="tx1"/>
            </w14:solidFill>
          </w14:textFill>
        </w:rPr>
      </w:pPr>
      <w:r>
        <w:rPr>
          <w:rFonts w:ascii="Times New Roman" w:hAnsi="Times New Roman" w:eastAsia="宋体"/>
          <w:snapToGrid w:val="0"/>
          <w:color w:val="000000" w:themeColor="text1"/>
          <w:kern w:val="21"/>
          <w:szCs w:val="21"/>
          <w:highlight w:val="none"/>
          <w14:textFill>
            <w14:solidFill>
              <w14:schemeClr w14:val="tx1"/>
            </w14:solidFill>
          </w14:textFill>
        </w:rPr>
        <w:t>注：</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16"/>
          <w:kern w:val="21"/>
          <w:szCs w:val="21"/>
          <w:highlight w:val="none"/>
          <w14:textFill>
            <w14:solidFill>
              <w14:schemeClr w14:val="tx1"/>
            </w14:solidFill>
          </w14:textFill>
        </w:rPr>
        <w:instrText xml:space="preserve"> = 6 \* GB3 \* MERGEFORMAT </w:instrTex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⑥</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1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1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①</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3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③</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4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④</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16"/>
          <w:kern w:val="21"/>
          <w:szCs w:val="21"/>
          <w:highlight w:val="none"/>
          <w14:textFill>
            <w14:solidFill>
              <w14:schemeClr w14:val="tx1"/>
            </w14:solidFill>
          </w14:textFill>
        </w:rPr>
        <w:instrText xml:space="preserve"> = 5 \* GB3 \* MERGEFORMAT </w:instrTex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⑤</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1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7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⑦</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6"/>
          <w:kern w:val="21"/>
          <w:szCs w:val="21"/>
          <w:highlight w:val="none"/>
          <w14:textFill>
            <w14:solidFill>
              <w14:schemeClr w14:val="tx1"/>
            </w14:solidFill>
          </w14:textFill>
        </w:rPr>
        <w:t>=</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16"/>
          <w:kern w:val="21"/>
          <w:szCs w:val="21"/>
          <w:highlight w:val="none"/>
          <w14:textFill>
            <w14:solidFill>
              <w14:schemeClr w14:val="tx1"/>
            </w14:solidFill>
          </w14:textFill>
        </w:rPr>
        <w:instrText xml:space="preserve"> = 6 \* GB3 \* MERGEFORMAT </w:instrTex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⑥</w:t>
      </w:r>
      <w:r>
        <w:rPr>
          <w:rFonts w:ascii="Times New Roman" w:hAnsi="Times New Roman" w:eastAsia="宋体"/>
          <w:snapToGrid w:val="0"/>
          <w:color w:val="000000" w:themeColor="text1"/>
          <w:spacing w:val="-16"/>
          <w:kern w:val="21"/>
          <w:szCs w:val="21"/>
          <w:highlight w:val="none"/>
          <w14:textFill>
            <w14:solidFill>
              <w14:schemeClr w14:val="tx1"/>
            </w14:solidFill>
          </w14:textFill>
        </w:rPr>
        <w:fldChar w:fldCharType="end"/>
      </w:r>
      <w:r>
        <w:rPr>
          <w:rFonts w:ascii="Times New Roman" w:hAnsi="Times New Roman" w:eastAsia="宋体"/>
          <w:snapToGrid w:val="0"/>
          <w:color w:val="000000" w:themeColor="text1"/>
          <w:spacing w:val="-16"/>
          <w:kern w:val="21"/>
          <w:szCs w:val="21"/>
          <w:highlight w:val="none"/>
          <w14:textFill>
            <w14:solidFill>
              <w14:schemeClr w14:val="tx1"/>
            </w14:solidFill>
          </w14:textFill>
        </w:rPr>
        <w:t>-</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begin"/>
      </w:r>
      <w:r>
        <w:rPr>
          <w:rFonts w:ascii="Times New Roman" w:hAnsi="Times New Roman" w:eastAsia="宋体"/>
          <w:snapToGrid w:val="0"/>
          <w:color w:val="000000" w:themeColor="text1"/>
          <w:spacing w:val="-6"/>
          <w:kern w:val="21"/>
          <w:szCs w:val="21"/>
          <w:highlight w:val="none"/>
          <w14:textFill>
            <w14:solidFill>
              <w14:schemeClr w14:val="tx1"/>
            </w14:solidFill>
          </w14:textFill>
        </w:rPr>
        <w:instrText xml:space="preserve"> = 1 \* GB3 \* MERGEFORMAT </w:instrTex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separate"/>
      </w:r>
      <w:r>
        <w:rPr>
          <w:rFonts w:ascii="Times New Roman" w:hAnsi="Times New Roman" w:eastAsia="宋体"/>
          <w:color w:val="000000" w:themeColor="text1"/>
          <w:szCs w:val="21"/>
          <w:highlight w:val="none"/>
          <w14:textFill>
            <w14:solidFill>
              <w14:schemeClr w14:val="tx1"/>
            </w14:solidFill>
          </w14:textFill>
        </w:rPr>
        <w:t>①</w:t>
      </w:r>
      <w:r>
        <w:rPr>
          <w:rFonts w:ascii="Times New Roman" w:hAnsi="Times New Roman" w:eastAsia="宋体"/>
          <w:snapToGrid w:val="0"/>
          <w:color w:val="000000" w:themeColor="text1"/>
          <w:spacing w:val="-6"/>
          <w:kern w:val="21"/>
          <w:szCs w:val="21"/>
          <w:highlight w:val="none"/>
          <w14:textFill>
            <w14:solidFill>
              <w14:schemeClr w14:val="tx1"/>
            </w14:solidFill>
          </w14:textFill>
        </w:rPr>
        <w:fldChar w:fldCharType="end"/>
      </w:r>
    </w:p>
    <w:p w14:paraId="398A707A">
      <w:pPr>
        <w:rPr>
          <w:color w:val="000000" w:themeColor="text1"/>
          <w:highlight w:val="none"/>
          <w14:textFill>
            <w14:solidFill>
              <w14:schemeClr w14:val="tx1"/>
            </w14:solidFill>
          </w14:textFill>
        </w:rPr>
      </w:pPr>
    </w:p>
    <w:sectPr>
      <w:footerReference r:id="rId5" w:type="default"/>
      <w:pgSz w:w="16838" w:h="11906" w:orient="landscape"/>
      <w:pgMar w:top="1531" w:right="1701" w:bottom="1531" w:left="1701" w:header="851" w:footer="850"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_GB2312">
    <w:panose1 w:val="02010609030101010101"/>
    <w:charset w:val="86"/>
    <w:family w:val="modern"/>
    <w:pitch w:val="default"/>
    <w:sig w:usb0="00000001" w:usb1="080E0000" w:usb2="0000000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華康細圓體">
    <w:altName w:val="Microsoft JhengHei"/>
    <w:panose1 w:val="00000000000000000000"/>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2A7" w:usb1="28CF4400" w:usb2="00000016" w:usb3="00000000" w:csb0="00100009"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仿宋_GB2312">
    <w:panose1 w:val="02010609030101010101"/>
    <w:charset w:val="86"/>
    <w:family w:val="modern"/>
    <w:pitch w:val="default"/>
    <w:sig w:usb0="00000001" w:usb1="080E0000" w:usb2="0000000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Wingdings 2">
    <w:altName w:val="Wingdings"/>
    <w:panose1 w:val="05020102010507070707"/>
    <w:charset w:val="00"/>
    <w:family w:val="auto"/>
    <w:pitch w:val="default"/>
    <w:sig w:usb0="00000000" w:usb1="00000000" w:usb2="00000000" w:usb3="00000000" w:csb0="80000000" w:csb1="00000000"/>
  </w:font>
  <w:font w:name="Helvetica">
    <w:altName w:val="Arial"/>
    <w:panose1 w:val="020B0604020202020204"/>
    <w:charset w:val="00"/>
    <w:family w:val="swiss"/>
    <w:pitch w:val="default"/>
    <w:sig w:usb0="00000000" w:usb1="00000000" w:usb2="00000000" w:usb3="00000000" w:csb0="00000000" w:csb1="00000000"/>
  </w:font>
  <w:font w:name="TimesNewRomanPSMT">
    <w:altName w:val="Times New Roman"/>
    <w:panose1 w:val="00000000000000000000"/>
    <w:charset w:val="80"/>
    <w:family w:val="auto"/>
    <w:pitch w:val="default"/>
    <w:sig w:usb0="00000000" w:usb1="00000000" w:usb2="00000000" w:usb3="00000000" w:csb0="00020000" w:csb1="00000000"/>
  </w:font>
  <w:font w:name="TimesNewRomanPS-BoldMT">
    <w:altName w:val="宋体"/>
    <w:panose1 w:val="00000000000000000000"/>
    <w:charset w:val="86"/>
    <w:family w:val="auto"/>
    <w:pitch w:val="default"/>
    <w:sig w:usb0="00000000" w:usb1="00000000" w:usb2="00000000" w:usb3="00000000" w:csb0="00040000" w:csb1="00000000"/>
  </w:font>
  <w:font w:name="Kingsoft 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23163">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10CCE5">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1</w:t>
                          </w:r>
                          <w:r>
                            <w:rPr>
                              <w:rFonts w:hint="default" w:ascii="Times New Roman" w:hAnsi="Times New Roman" w:eastAsia="宋体" w:cs="Times New Roman"/>
                              <w:sz w:val="21"/>
                              <w:szCs w:val="21"/>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C10CCE5">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1</w:t>
                    </w:r>
                    <w:r>
                      <w:rPr>
                        <w:rFonts w:hint="default" w:ascii="Times New Roman" w:hAnsi="Times New Roman" w:eastAsia="宋体" w:cs="Times New Roman"/>
                        <w:sz w:val="21"/>
                        <w:szCs w:val="21"/>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3E99F">
    <w:pPr>
      <w:pStyle w:val="1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5D2D2D">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3</w:t>
                          </w:r>
                          <w:r>
                            <w:rPr>
                              <w:rFonts w:hint="default" w:ascii="Times New Roman" w:hAnsi="Times New Roman" w:eastAsia="宋体" w:cs="Times New Roman"/>
                              <w:sz w:val="21"/>
                              <w:szCs w:val="21"/>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B5D2D2D">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3</w:t>
                    </w:r>
                    <w:r>
                      <w:rPr>
                        <w:rFonts w:hint="default" w:ascii="Times New Roman" w:hAnsi="Times New Roman" w:eastAsia="宋体" w:cs="Times New Roman"/>
                        <w:sz w:val="21"/>
                        <w:szCs w:val="21"/>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DA5474">
    <w:pPr>
      <w:pStyle w:val="13"/>
      <w:ind w:right="360" w:firstLine="36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9EF61A">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92</w:t>
                          </w:r>
                          <w:r>
                            <w:rPr>
                              <w:rFonts w:hint="default" w:ascii="Times New Roman" w:hAnsi="Times New Roman" w:eastAsia="宋体" w:cs="Times New Roman"/>
                              <w:sz w:val="21"/>
                              <w:szCs w:val="21"/>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029EF61A">
                    <w:pPr>
                      <w:pStyle w:val="13"/>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fldChar w:fldCharType="begin"/>
                    </w:r>
                    <w:r>
                      <w:rPr>
                        <w:rFonts w:hint="default" w:ascii="Times New Roman" w:hAnsi="Times New Roman" w:eastAsia="宋体" w:cs="Times New Roman"/>
                        <w:sz w:val="21"/>
                        <w:szCs w:val="21"/>
                        <w:lang w:eastAsia="zh-CN"/>
                      </w:rPr>
                      <w:instrText xml:space="preserve"> PAGE  \* MERGEFORMAT </w:instrText>
                    </w:r>
                    <w:r>
                      <w:rPr>
                        <w:rFonts w:hint="default" w:ascii="Times New Roman" w:hAnsi="Times New Roman" w:eastAsia="宋体" w:cs="Times New Roman"/>
                        <w:sz w:val="21"/>
                        <w:szCs w:val="21"/>
                        <w:lang w:eastAsia="zh-CN"/>
                      </w:rPr>
                      <w:fldChar w:fldCharType="separate"/>
                    </w:r>
                    <w:r>
                      <w:rPr>
                        <w:rFonts w:hint="default" w:ascii="Times New Roman" w:hAnsi="Times New Roman" w:eastAsia="宋体" w:cs="Times New Roman"/>
                        <w:sz w:val="21"/>
                        <w:szCs w:val="21"/>
                        <w:lang w:eastAsia="zh-CN"/>
                      </w:rPr>
                      <w:t>92</w:t>
                    </w:r>
                    <w:r>
                      <w:rPr>
                        <w:rFonts w:hint="default" w:ascii="Times New Roman" w:hAnsi="Times New Roman" w:eastAsia="宋体" w:cs="Times New Roman"/>
                        <w:sz w:val="21"/>
                        <w:szCs w:val="21"/>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425228"/>
    <w:multiLevelType w:val="singleLevel"/>
    <w:tmpl w:val="84425228"/>
    <w:lvl w:ilvl="0" w:tentative="0">
      <w:start w:val="1"/>
      <w:numFmt w:val="chineseCounting"/>
      <w:suff w:val="nothing"/>
      <w:lvlText w:val="（%1）"/>
      <w:lvlJc w:val="left"/>
      <w:rPr>
        <w:rFonts w:hint="eastAsia"/>
      </w:rPr>
    </w:lvl>
  </w:abstractNum>
  <w:abstractNum w:abstractNumId="1">
    <w:nsid w:val="8C619B3D"/>
    <w:multiLevelType w:val="singleLevel"/>
    <w:tmpl w:val="8C619B3D"/>
    <w:lvl w:ilvl="0" w:tentative="0">
      <w:start w:val="1"/>
      <w:numFmt w:val="decimal"/>
      <w:suff w:val="nothing"/>
      <w:lvlText w:val="%1、"/>
      <w:lvlJc w:val="left"/>
    </w:lvl>
  </w:abstractNum>
  <w:abstractNum w:abstractNumId="2">
    <w:nsid w:val="30317733"/>
    <w:multiLevelType w:val="singleLevel"/>
    <w:tmpl w:val="30317733"/>
    <w:lvl w:ilvl="0" w:tentative="0">
      <w:start w:val="1"/>
      <w:numFmt w:val="decimal"/>
      <w:suff w:val="nothing"/>
      <w:lvlText w:val="%1、"/>
      <w:lvlJc w:val="left"/>
    </w:lvl>
  </w:abstractNum>
  <w:abstractNum w:abstractNumId="3">
    <w:nsid w:val="436AD2EE"/>
    <w:multiLevelType w:val="singleLevel"/>
    <w:tmpl w:val="436AD2EE"/>
    <w:lvl w:ilvl="0" w:tentative="0">
      <w:start w:val="1"/>
      <w:numFmt w:val="decimal"/>
      <w:suff w:val="nothing"/>
      <w:lvlText w:val="（%1）"/>
      <w:lvlJc w:val="left"/>
    </w:lvl>
  </w:abstractNum>
  <w:abstractNum w:abstractNumId="4">
    <w:nsid w:val="56956B01"/>
    <w:multiLevelType w:val="multilevel"/>
    <w:tmpl w:val="56956B01"/>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pStyle w:val="5"/>
      <w:lvlText w:val="%1.%2.%3.%4"/>
      <w:lvlJc w:val="left"/>
      <w:pPr>
        <w:ind w:left="864" w:hanging="864"/>
      </w:pPr>
      <w:rPr>
        <w:rFonts w:hint="default"/>
      </w:r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5">
    <w:nsid w:val="7A8DF8A3"/>
    <w:multiLevelType w:val="singleLevel"/>
    <w:tmpl w:val="7A8DF8A3"/>
    <w:lvl w:ilvl="0" w:tentative="0">
      <w:start w:val="1"/>
      <w:numFmt w:val="decimal"/>
      <w:suff w:val="nothing"/>
      <w:lvlText w:val="（%1）"/>
      <w:lvlJc w:val="left"/>
    </w:lvl>
  </w:abstractNum>
  <w:num w:numId="1">
    <w:abstractNumId w:val="4"/>
  </w:num>
  <w:num w:numId="2">
    <w:abstractNumId w:val="1"/>
  </w:num>
  <w:num w:numId="3">
    <w:abstractNumId w:val="0"/>
  </w:num>
  <w:num w:numId="4">
    <w:abstractNumId w:val="5"/>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4"/>
  <w:embedSystemFonts/>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diZjhmMDZlNWE1ZTIzNmY0N2FiYWQzNGRiMjI4ODMifQ=="/>
  </w:docVars>
  <w:rsids>
    <w:rsidRoot w:val="1B9432B7"/>
    <w:rsid w:val="003208FE"/>
    <w:rsid w:val="003A65C8"/>
    <w:rsid w:val="004C71D3"/>
    <w:rsid w:val="004D4038"/>
    <w:rsid w:val="006A4734"/>
    <w:rsid w:val="00BC0BC4"/>
    <w:rsid w:val="00BF0D85"/>
    <w:rsid w:val="01602188"/>
    <w:rsid w:val="01A36DAA"/>
    <w:rsid w:val="021637DC"/>
    <w:rsid w:val="02C34663"/>
    <w:rsid w:val="0309572A"/>
    <w:rsid w:val="030F7AAB"/>
    <w:rsid w:val="03467743"/>
    <w:rsid w:val="05EB3B72"/>
    <w:rsid w:val="05FB70D1"/>
    <w:rsid w:val="06D97672"/>
    <w:rsid w:val="070F2071"/>
    <w:rsid w:val="071B7C8B"/>
    <w:rsid w:val="07DC5BF5"/>
    <w:rsid w:val="096F04E7"/>
    <w:rsid w:val="0C857803"/>
    <w:rsid w:val="0C8B751A"/>
    <w:rsid w:val="0C9A5B16"/>
    <w:rsid w:val="0D3844B6"/>
    <w:rsid w:val="0DE85789"/>
    <w:rsid w:val="0E5E2DD3"/>
    <w:rsid w:val="0E8F6EDD"/>
    <w:rsid w:val="0F5C63BC"/>
    <w:rsid w:val="128327D0"/>
    <w:rsid w:val="12A7148D"/>
    <w:rsid w:val="12BA08E1"/>
    <w:rsid w:val="12CD11E7"/>
    <w:rsid w:val="133F61FB"/>
    <w:rsid w:val="136D0BA2"/>
    <w:rsid w:val="15C607E7"/>
    <w:rsid w:val="166A06C4"/>
    <w:rsid w:val="16E509B8"/>
    <w:rsid w:val="17F56539"/>
    <w:rsid w:val="18455AD6"/>
    <w:rsid w:val="18684BA1"/>
    <w:rsid w:val="19D12B93"/>
    <w:rsid w:val="1A0E2B34"/>
    <w:rsid w:val="1B0E6D4B"/>
    <w:rsid w:val="1B3116DD"/>
    <w:rsid w:val="1B851ABA"/>
    <w:rsid w:val="1B9432B7"/>
    <w:rsid w:val="1BE03FEC"/>
    <w:rsid w:val="1BE74E2C"/>
    <w:rsid w:val="1DB9675F"/>
    <w:rsid w:val="1DC409AB"/>
    <w:rsid w:val="1DE66D51"/>
    <w:rsid w:val="1DFF74F1"/>
    <w:rsid w:val="1E6F431B"/>
    <w:rsid w:val="1E851FFF"/>
    <w:rsid w:val="1ED34DF0"/>
    <w:rsid w:val="1F4D67B3"/>
    <w:rsid w:val="1F6A05F1"/>
    <w:rsid w:val="1FC248A0"/>
    <w:rsid w:val="20A36047"/>
    <w:rsid w:val="2223255E"/>
    <w:rsid w:val="237669C8"/>
    <w:rsid w:val="23A337ED"/>
    <w:rsid w:val="244A2F6C"/>
    <w:rsid w:val="25EF3B32"/>
    <w:rsid w:val="268D1F83"/>
    <w:rsid w:val="26A734A4"/>
    <w:rsid w:val="276F7260"/>
    <w:rsid w:val="277E41F1"/>
    <w:rsid w:val="27DC3161"/>
    <w:rsid w:val="293B3B0F"/>
    <w:rsid w:val="29BF445B"/>
    <w:rsid w:val="2A5650E5"/>
    <w:rsid w:val="2AB87CDF"/>
    <w:rsid w:val="2AF17936"/>
    <w:rsid w:val="2EE26EBF"/>
    <w:rsid w:val="2EF64A8D"/>
    <w:rsid w:val="2FB853F6"/>
    <w:rsid w:val="2FB910A0"/>
    <w:rsid w:val="2FDA249D"/>
    <w:rsid w:val="30B47EEF"/>
    <w:rsid w:val="30F173ED"/>
    <w:rsid w:val="31785E18"/>
    <w:rsid w:val="31C52255"/>
    <w:rsid w:val="33453705"/>
    <w:rsid w:val="336D27D3"/>
    <w:rsid w:val="357E08B3"/>
    <w:rsid w:val="36581E0F"/>
    <w:rsid w:val="366451BC"/>
    <w:rsid w:val="36AC4C9A"/>
    <w:rsid w:val="36DA3645"/>
    <w:rsid w:val="36EC3A0F"/>
    <w:rsid w:val="36F737EC"/>
    <w:rsid w:val="372B6EE3"/>
    <w:rsid w:val="37D256F0"/>
    <w:rsid w:val="38103998"/>
    <w:rsid w:val="38337BC3"/>
    <w:rsid w:val="38506549"/>
    <w:rsid w:val="38536A00"/>
    <w:rsid w:val="38BE765D"/>
    <w:rsid w:val="38C35F5F"/>
    <w:rsid w:val="38DC38B9"/>
    <w:rsid w:val="39A41C6C"/>
    <w:rsid w:val="39A8051F"/>
    <w:rsid w:val="39F4708A"/>
    <w:rsid w:val="3CD3115C"/>
    <w:rsid w:val="3D333210"/>
    <w:rsid w:val="3D5F54EB"/>
    <w:rsid w:val="3DF24B62"/>
    <w:rsid w:val="3E886E24"/>
    <w:rsid w:val="3F022FB0"/>
    <w:rsid w:val="3F140292"/>
    <w:rsid w:val="3F5869E2"/>
    <w:rsid w:val="3F8F7D03"/>
    <w:rsid w:val="3F906948"/>
    <w:rsid w:val="3FE30C73"/>
    <w:rsid w:val="400F63E8"/>
    <w:rsid w:val="413F188A"/>
    <w:rsid w:val="41CE6726"/>
    <w:rsid w:val="41DA7B08"/>
    <w:rsid w:val="41EA3460"/>
    <w:rsid w:val="43B85F9B"/>
    <w:rsid w:val="441413BA"/>
    <w:rsid w:val="450C1EFE"/>
    <w:rsid w:val="478716FD"/>
    <w:rsid w:val="489F64F3"/>
    <w:rsid w:val="48F549A5"/>
    <w:rsid w:val="493557CA"/>
    <w:rsid w:val="4AA3050A"/>
    <w:rsid w:val="4B3A5387"/>
    <w:rsid w:val="4B77150E"/>
    <w:rsid w:val="4C131590"/>
    <w:rsid w:val="4CDC6F01"/>
    <w:rsid w:val="4D1B0752"/>
    <w:rsid w:val="4DAD70B2"/>
    <w:rsid w:val="4DBF2C45"/>
    <w:rsid w:val="4DD73263"/>
    <w:rsid w:val="4E7057E3"/>
    <w:rsid w:val="4EC20C4B"/>
    <w:rsid w:val="4EF84F8A"/>
    <w:rsid w:val="4F9440C8"/>
    <w:rsid w:val="520E7773"/>
    <w:rsid w:val="52306A18"/>
    <w:rsid w:val="52BE58E6"/>
    <w:rsid w:val="530552A4"/>
    <w:rsid w:val="533611D4"/>
    <w:rsid w:val="53B15902"/>
    <w:rsid w:val="55412178"/>
    <w:rsid w:val="556F0C62"/>
    <w:rsid w:val="56010E0C"/>
    <w:rsid w:val="564512D1"/>
    <w:rsid w:val="56655E0A"/>
    <w:rsid w:val="56707B50"/>
    <w:rsid w:val="5700611C"/>
    <w:rsid w:val="5785715A"/>
    <w:rsid w:val="57C10411"/>
    <w:rsid w:val="59462FFB"/>
    <w:rsid w:val="5A626223"/>
    <w:rsid w:val="5A6C268A"/>
    <w:rsid w:val="5A8D78BD"/>
    <w:rsid w:val="5AB519F1"/>
    <w:rsid w:val="5B8C5817"/>
    <w:rsid w:val="5C3F3073"/>
    <w:rsid w:val="5D8D4D61"/>
    <w:rsid w:val="5DF56401"/>
    <w:rsid w:val="5EAB06EF"/>
    <w:rsid w:val="5EDA2718"/>
    <w:rsid w:val="5F0D0AF0"/>
    <w:rsid w:val="5F4928E4"/>
    <w:rsid w:val="5FDE1FE4"/>
    <w:rsid w:val="60FC124A"/>
    <w:rsid w:val="6229133E"/>
    <w:rsid w:val="626C2AE4"/>
    <w:rsid w:val="626D508F"/>
    <w:rsid w:val="63CA76B6"/>
    <w:rsid w:val="647C28C2"/>
    <w:rsid w:val="64D861EB"/>
    <w:rsid w:val="65627009"/>
    <w:rsid w:val="657116FB"/>
    <w:rsid w:val="65AF1C1E"/>
    <w:rsid w:val="67E17DD8"/>
    <w:rsid w:val="69104359"/>
    <w:rsid w:val="697B4180"/>
    <w:rsid w:val="699E7715"/>
    <w:rsid w:val="69C00644"/>
    <w:rsid w:val="6A4627DC"/>
    <w:rsid w:val="6B0A032C"/>
    <w:rsid w:val="6B167F95"/>
    <w:rsid w:val="6B2E77E9"/>
    <w:rsid w:val="6BD83523"/>
    <w:rsid w:val="6CBE1C7B"/>
    <w:rsid w:val="6D7252AB"/>
    <w:rsid w:val="6DCA519A"/>
    <w:rsid w:val="6E773352"/>
    <w:rsid w:val="6F373959"/>
    <w:rsid w:val="70187047"/>
    <w:rsid w:val="702A28D7"/>
    <w:rsid w:val="70CB3703"/>
    <w:rsid w:val="737137FE"/>
    <w:rsid w:val="756379E0"/>
    <w:rsid w:val="769A7931"/>
    <w:rsid w:val="77BB3B42"/>
    <w:rsid w:val="7A065BEA"/>
    <w:rsid w:val="7B0B4F67"/>
    <w:rsid w:val="7B967AC3"/>
    <w:rsid w:val="7DB5534B"/>
    <w:rsid w:val="7DC2210D"/>
    <w:rsid w:val="7ECA1FD1"/>
    <w:rsid w:val="7F1450AB"/>
    <w:rsid w:val="7F3C5D01"/>
    <w:rsid w:val="7F7F6BAE"/>
    <w:rsid w:val="7FCA2B5D"/>
    <w:rsid w:val="7FD65F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qFormat="1" w:uiPriority="99"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等线" w:hAnsi="等线" w:eastAsia="等线" w:cs="Times New Roman"/>
      <w:kern w:val="2"/>
      <w:sz w:val="21"/>
      <w:szCs w:val="22"/>
      <w:lang w:val="en-US" w:eastAsia="zh-CN" w:bidi="ar-SA"/>
    </w:rPr>
  </w:style>
  <w:style w:type="paragraph" w:styleId="3">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kern w:val="0"/>
      <w:sz w:val="27"/>
      <w:szCs w:val="27"/>
      <w:lang w:val="en-US" w:eastAsia="zh-CN" w:bidi="ar"/>
    </w:rPr>
  </w:style>
  <w:style w:type="paragraph" w:styleId="5">
    <w:name w:val="heading 4"/>
    <w:basedOn w:val="1"/>
    <w:next w:val="1"/>
    <w:qFormat/>
    <w:uiPriority w:val="0"/>
    <w:pPr>
      <w:keepNext/>
      <w:keepLines/>
      <w:numPr>
        <w:ilvl w:val="3"/>
        <w:numId w:val="1"/>
      </w:numPr>
      <w:spacing w:beforeLines="50" w:after="78"/>
      <w:outlineLvl w:val="3"/>
    </w:pPr>
    <w:rPr>
      <w:rFonts w:ascii="Arial" w:hAnsi="Arial" w:eastAsia="楷体_GB2312"/>
      <w:b/>
      <w:bCs/>
      <w:sz w:val="24"/>
      <w:shd w:val="clear" w:color="auto" w:fill="FFFFFF"/>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next w:val="1"/>
    <w:qFormat/>
    <w:uiPriority w:val="0"/>
    <w:pPr>
      <w:spacing w:after="120" w:line="480" w:lineRule="auto"/>
      <w:ind w:left="420" w:leftChars="200"/>
    </w:pPr>
  </w:style>
  <w:style w:type="paragraph" w:styleId="6">
    <w:name w:val="Normal Indent"/>
    <w:basedOn w:val="1"/>
    <w:qFormat/>
    <w:uiPriority w:val="0"/>
    <w:pPr>
      <w:adjustRightInd w:val="0"/>
      <w:ind w:firstLine="420"/>
      <w:jc w:val="left"/>
    </w:pPr>
    <w:rPr>
      <w:sz w:val="24"/>
      <w:szCs w:val="22"/>
    </w:rPr>
  </w:style>
  <w:style w:type="paragraph" w:styleId="7">
    <w:name w:val="annotation text"/>
    <w:basedOn w:val="1"/>
    <w:link w:val="50"/>
    <w:semiHidden/>
    <w:qFormat/>
    <w:uiPriority w:val="0"/>
    <w:pPr>
      <w:jc w:val="left"/>
    </w:pPr>
    <w:rPr>
      <w:rFonts w:ascii="Times New Roman" w:hAnsi="Times New Roman" w:eastAsia="宋体"/>
      <w:kern w:val="0"/>
      <w:sz w:val="24"/>
      <w:szCs w:val="20"/>
    </w:rPr>
  </w:style>
  <w:style w:type="paragraph" w:styleId="8">
    <w:name w:val="Body Text"/>
    <w:basedOn w:val="1"/>
    <w:next w:val="1"/>
    <w:qFormat/>
    <w:uiPriority w:val="0"/>
    <w:pPr>
      <w:widowControl/>
      <w:snapToGrid w:val="0"/>
      <w:spacing w:before="60" w:after="160" w:line="259" w:lineRule="auto"/>
      <w:ind w:right="113"/>
    </w:pPr>
    <w:rPr>
      <w:kern w:val="0"/>
      <w:sz w:val="18"/>
      <w:szCs w:val="20"/>
    </w:rPr>
  </w:style>
  <w:style w:type="paragraph" w:styleId="9">
    <w:name w:val="Body Text Indent"/>
    <w:basedOn w:val="1"/>
    <w:semiHidden/>
    <w:qFormat/>
    <w:uiPriority w:val="0"/>
    <w:pPr>
      <w:spacing w:after="120"/>
      <w:ind w:left="420" w:leftChars="200"/>
    </w:pPr>
    <w:rPr>
      <w:rFonts w:ascii="Times New Roman" w:hAnsi="Times New Roman"/>
      <w:kern w:val="0"/>
      <w:sz w:val="24"/>
      <w:szCs w:val="24"/>
    </w:rPr>
  </w:style>
  <w:style w:type="paragraph" w:styleId="10">
    <w:name w:val="Block Text"/>
    <w:basedOn w:val="1"/>
    <w:qFormat/>
    <w:uiPriority w:val="0"/>
    <w:pPr>
      <w:spacing w:after="120"/>
      <w:ind w:left="1440" w:leftChars="700" w:right="1440" w:rightChars="700"/>
    </w:pPr>
    <w:rPr>
      <w:rFonts w:ascii="Times New Roman" w:hAnsi="Times New Roman" w:eastAsia="宋体"/>
      <w:szCs w:val="20"/>
    </w:rPr>
  </w:style>
  <w:style w:type="paragraph" w:styleId="11">
    <w:name w:val="Plain Text"/>
    <w:basedOn w:val="1"/>
    <w:qFormat/>
    <w:uiPriority w:val="0"/>
    <w:rPr>
      <w:rFonts w:ascii="宋体" w:hAnsi="Courier New"/>
      <w:szCs w:val="20"/>
    </w:rPr>
  </w:style>
  <w:style w:type="paragraph" w:styleId="12">
    <w:name w:val="Balloon Text"/>
    <w:basedOn w:val="1"/>
    <w:link w:val="52"/>
    <w:qFormat/>
    <w:uiPriority w:val="0"/>
    <w:rPr>
      <w:sz w:val="18"/>
      <w:szCs w:val="18"/>
    </w:rPr>
  </w:style>
  <w:style w:type="paragraph" w:styleId="13">
    <w:name w:val="footer"/>
    <w:basedOn w:val="1"/>
    <w:link w:val="46"/>
    <w:qFormat/>
    <w:uiPriority w:val="99"/>
    <w:pPr>
      <w:tabs>
        <w:tab w:val="center" w:pos="4153"/>
        <w:tab w:val="right" w:pos="8306"/>
      </w:tabs>
      <w:snapToGrid w:val="0"/>
      <w:jc w:val="left"/>
    </w:pPr>
    <w:rPr>
      <w:kern w:val="0"/>
      <w:sz w:val="18"/>
      <w:szCs w:val="18"/>
    </w:rPr>
  </w:style>
  <w:style w:type="paragraph" w:styleId="14">
    <w:name w:val="header"/>
    <w:basedOn w:val="1"/>
    <w:next w:val="13"/>
    <w:link w:val="45"/>
    <w:qFormat/>
    <w:uiPriority w:val="0"/>
    <w:pPr>
      <w:pBdr>
        <w:bottom w:val="single" w:color="auto" w:sz="6" w:space="1"/>
      </w:pBdr>
      <w:tabs>
        <w:tab w:val="center" w:pos="4153"/>
        <w:tab w:val="right" w:pos="8306"/>
      </w:tabs>
      <w:snapToGrid w:val="0"/>
      <w:jc w:val="center"/>
    </w:pPr>
    <w:rPr>
      <w:kern w:val="0"/>
      <w:sz w:val="18"/>
      <w:szCs w:val="20"/>
    </w:rPr>
  </w:style>
  <w:style w:type="paragraph" w:styleId="15">
    <w:name w:val="index heading"/>
    <w:basedOn w:val="1"/>
    <w:next w:val="16"/>
    <w:unhideWhenUsed/>
    <w:qFormat/>
    <w:uiPriority w:val="99"/>
    <w:rPr>
      <w:rFonts w:ascii="Arial" w:hAnsi="Arial" w:cs="Arial"/>
      <w:b/>
      <w:bCs/>
    </w:rPr>
  </w:style>
  <w:style w:type="paragraph" w:styleId="16">
    <w:name w:val="index 1"/>
    <w:basedOn w:val="1"/>
    <w:next w:val="1"/>
    <w:unhideWhenUsed/>
    <w:qFormat/>
    <w:uiPriority w:val="99"/>
    <w:pPr>
      <w:tabs>
        <w:tab w:val="left" w:pos="5580"/>
      </w:tabs>
      <w:spacing w:line="280" w:lineRule="exact"/>
    </w:pPr>
    <w:rPr>
      <w:rFonts w:ascii="宋体" w:hAnsi="宋体"/>
      <w:spacing w:val="10"/>
    </w:rPr>
  </w:style>
  <w:style w:type="paragraph" w:styleId="17">
    <w:name w:val="Normal (Web)"/>
    <w:basedOn w:val="1"/>
    <w:qFormat/>
    <w:uiPriority w:val="0"/>
    <w:pPr>
      <w:jc w:val="left"/>
    </w:pPr>
    <w:rPr>
      <w:rFonts w:ascii="Calibri" w:hAnsi="Calibri"/>
      <w:kern w:val="0"/>
      <w:sz w:val="24"/>
      <w:szCs w:val="24"/>
    </w:rPr>
  </w:style>
  <w:style w:type="paragraph" w:styleId="18">
    <w:name w:val="annotation subject"/>
    <w:basedOn w:val="7"/>
    <w:next w:val="7"/>
    <w:link w:val="51"/>
    <w:qFormat/>
    <w:uiPriority w:val="0"/>
    <w:rPr>
      <w:rFonts w:ascii="等线" w:hAnsi="等线" w:eastAsia="等线"/>
      <w:b/>
      <w:bCs/>
      <w:kern w:val="2"/>
      <w:sz w:val="21"/>
      <w:szCs w:val="22"/>
    </w:rPr>
  </w:style>
  <w:style w:type="paragraph" w:styleId="19">
    <w:name w:val="Body Text First Indent 2"/>
    <w:basedOn w:val="9"/>
    <w:next w:val="8"/>
    <w:qFormat/>
    <w:uiPriority w:val="0"/>
    <w:pPr>
      <w:ind w:firstLine="420" w:firstLineChars="200"/>
    </w:pPr>
    <w:rPr>
      <w:kern w:val="2"/>
      <w:sz w:val="21"/>
      <w:szCs w:val="21"/>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qFormat/>
    <w:uiPriority w:val="0"/>
    <w:rPr>
      <w:color w:val="000000"/>
      <w:u w:val="none"/>
    </w:rPr>
  </w:style>
  <w:style w:type="character" w:styleId="25">
    <w:name w:val="Emphasis"/>
    <w:basedOn w:val="22"/>
    <w:qFormat/>
    <w:uiPriority w:val="0"/>
    <w:rPr>
      <w:i/>
    </w:rPr>
  </w:style>
  <w:style w:type="character" w:styleId="26">
    <w:name w:val="Hyperlink"/>
    <w:basedOn w:val="22"/>
    <w:qFormat/>
    <w:uiPriority w:val="0"/>
    <w:rPr>
      <w:color w:val="000000"/>
      <w:u w:val="none"/>
    </w:rPr>
  </w:style>
  <w:style w:type="character" w:styleId="27">
    <w:name w:val="annotation reference"/>
    <w:semiHidden/>
    <w:qFormat/>
    <w:uiPriority w:val="0"/>
    <w:rPr>
      <w:sz w:val="21"/>
    </w:rPr>
  </w:style>
  <w:style w:type="paragraph" w:customStyle="1" w:styleId="28">
    <w:name w:val="z正文"/>
    <w:basedOn w:val="1"/>
    <w:qFormat/>
    <w:uiPriority w:val="0"/>
    <w:pPr>
      <w:tabs>
        <w:tab w:val="left" w:pos="525"/>
      </w:tabs>
      <w:spacing w:line="360" w:lineRule="auto"/>
    </w:pPr>
    <w:rPr>
      <w:rFonts w:ascii="宋体" w:hAnsi="宋体" w:eastAsia="宋体"/>
      <w:szCs w:val="20"/>
    </w:rPr>
  </w:style>
  <w:style w:type="paragraph" w:customStyle="1" w:styleId="29">
    <w:name w:val="Default"/>
    <w:basedOn w:val="30"/>
    <w:next w:val="31"/>
    <w:qFormat/>
    <w:uiPriority w:val="0"/>
    <w:pPr>
      <w:autoSpaceDE w:val="0"/>
      <w:autoSpaceDN w:val="0"/>
    </w:pPr>
    <w:rPr>
      <w:rFonts w:ascii="Sim Sun" w:hAnsi="Calibri" w:eastAsia="Sim Sun" w:cs="Sim Sun"/>
      <w:color w:val="000000"/>
      <w:szCs w:val="24"/>
    </w:rPr>
  </w:style>
  <w:style w:type="paragraph" w:customStyle="1" w:styleId="30">
    <w:name w:val="纯文本1"/>
    <w:qFormat/>
    <w:uiPriority w:val="0"/>
    <w:pPr>
      <w:widowControl w:val="0"/>
      <w:adjustRightInd w:val="0"/>
      <w:spacing w:line="480" w:lineRule="exact"/>
      <w:jc w:val="both"/>
    </w:pPr>
    <w:rPr>
      <w:rFonts w:ascii="宋体" w:hAnsi="Courier New" w:eastAsia="宋体" w:cs="Times New Roman"/>
      <w:kern w:val="2"/>
      <w:sz w:val="24"/>
      <w:lang w:val="en-US" w:eastAsia="zh-CN" w:bidi="ar-SA"/>
    </w:rPr>
  </w:style>
  <w:style w:type="paragraph" w:customStyle="1" w:styleId="31">
    <w:name w:val="样式1"/>
    <w:basedOn w:val="15"/>
    <w:next w:val="10"/>
    <w:qFormat/>
    <w:uiPriority w:val="0"/>
    <w:pPr>
      <w:spacing w:line="600" w:lineRule="exact"/>
      <w:ind w:firstLine="560" w:firstLineChars="200"/>
    </w:pPr>
    <w:rPr>
      <w:rFonts w:ascii="宋体" w:hAnsi="宋体" w:eastAsia="宋体" w:cs="Times New Roman"/>
      <w:sz w:val="28"/>
      <w:szCs w:val="28"/>
    </w:rPr>
  </w:style>
  <w:style w:type="paragraph" w:styleId="32">
    <w:name w:val="No Spacing"/>
    <w:basedOn w:val="1"/>
    <w:qFormat/>
    <w:uiPriority w:val="99"/>
    <w:pPr>
      <w:spacing w:line="360" w:lineRule="auto"/>
    </w:pPr>
    <w:rPr>
      <w:sz w:val="24"/>
    </w:rPr>
  </w:style>
  <w:style w:type="paragraph" w:customStyle="1" w:styleId="33">
    <w:name w:val="样式 标题 2 + 宋体"/>
    <w:basedOn w:val="34"/>
    <w:qFormat/>
    <w:uiPriority w:val="0"/>
    <w:rPr>
      <w:rFonts w:ascii="宋体" w:hAnsi="宋体" w:eastAsia="宋体"/>
      <w:sz w:val="30"/>
    </w:rPr>
  </w:style>
  <w:style w:type="paragraph" w:customStyle="1" w:styleId="34">
    <w:name w:val="！正文"/>
    <w:basedOn w:val="1"/>
    <w:qFormat/>
    <w:uiPriority w:val="0"/>
    <w:pPr>
      <w:ind w:firstLine="480"/>
    </w:pPr>
    <w:rPr>
      <w:rFonts w:ascii="華康細圓體" w:hAnsi="華康細圓體"/>
      <w:szCs w:val="20"/>
    </w:rPr>
  </w:style>
  <w:style w:type="paragraph" w:customStyle="1" w:styleId="35">
    <w:name w:val="表格正文"/>
    <w:basedOn w:val="1"/>
    <w:qFormat/>
    <w:uiPriority w:val="0"/>
    <w:pPr>
      <w:spacing w:line="360" w:lineRule="exact"/>
      <w:jc w:val="center"/>
    </w:pPr>
  </w:style>
  <w:style w:type="paragraph" w:customStyle="1" w:styleId="36">
    <w:name w:val="表"/>
    <w:basedOn w:val="1"/>
    <w:next w:val="37"/>
    <w:qFormat/>
    <w:uiPriority w:val="99"/>
    <w:pPr>
      <w:keepNext/>
      <w:adjustRightInd w:val="0"/>
      <w:spacing w:line="320" w:lineRule="exact"/>
      <w:jc w:val="center"/>
      <w:textAlignment w:val="baseline"/>
    </w:pPr>
    <w:rPr>
      <w:rFonts w:eastAsia="楷体_GB2312"/>
      <w:kern w:val="0"/>
      <w:szCs w:val="20"/>
    </w:rPr>
  </w:style>
  <w:style w:type="paragraph" w:customStyle="1" w:styleId="37">
    <w:name w:val="正文2"/>
    <w:basedOn w:val="1"/>
    <w:next w:val="1"/>
    <w:qFormat/>
    <w:uiPriority w:val="99"/>
    <w:pPr>
      <w:adjustRightInd w:val="0"/>
      <w:snapToGrid w:val="0"/>
      <w:spacing w:line="480" w:lineRule="exact"/>
      <w:ind w:firstLine="567"/>
    </w:pPr>
    <w:rPr>
      <w:rFonts w:ascii="Times New Roman" w:hAnsi="Times New Roman"/>
    </w:rPr>
  </w:style>
  <w:style w:type="paragraph" w:customStyle="1" w:styleId="38">
    <w:name w:val="Normal_0_0"/>
    <w:qFormat/>
    <w:uiPriority w:val="0"/>
    <w:pPr>
      <w:widowControl w:val="0"/>
      <w:spacing w:line="360" w:lineRule="auto"/>
      <w:ind w:firstLine="200" w:firstLineChars="200"/>
      <w:jc w:val="both"/>
    </w:pPr>
    <w:rPr>
      <w:rFonts w:ascii="Times New Roman" w:hAnsi="Times New Roman" w:eastAsia="仿宋" w:cs="Times New Roman"/>
      <w:kern w:val="2"/>
      <w:sz w:val="28"/>
      <w:szCs w:val="21"/>
      <w:lang w:val="en-US" w:eastAsia="zh-CN" w:bidi="ar-SA"/>
    </w:rPr>
  </w:style>
  <w:style w:type="table" w:customStyle="1" w:styleId="39">
    <w:name w:val="Table Grid_0"/>
    <w:basedOn w:val="20"/>
    <w:qFormat/>
    <w:uiPriority w:val="0"/>
    <w:rPr>
      <w:rFonts w:eastAsia="仿宋"/>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0">
    <w:name w:val="国保表格名"/>
    <w:basedOn w:val="1"/>
    <w:qFormat/>
    <w:uiPriority w:val="0"/>
    <w:pPr>
      <w:spacing w:beforeLines="50"/>
      <w:jc w:val="center"/>
    </w:pPr>
    <w:rPr>
      <w:rFonts w:ascii="Times New Roman" w:hAnsi="黑体" w:eastAsia="黑体"/>
      <w:kern w:val="0"/>
      <w:sz w:val="20"/>
      <w:szCs w:val="20"/>
    </w:rPr>
  </w:style>
  <w:style w:type="paragraph" w:customStyle="1" w:styleId="41">
    <w:name w:val="国保正文"/>
    <w:basedOn w:val="1"/>
    <w:qFormat/>
    <w:uiPriority w:val="0"/>
    <w:pPr>
      <w:spacing w:line="500" w:lineRule="exact"/>
      <w:ind w:firstLine="480" w:firstLineChars="200"/>
    </w:pPr>
    <w:rPr>
      <w:rFonts w:ascii="Times New Roman" w:hAnsi="Times New Roman"/>
      <w:kern w:val="0"/>
      <w:sz w:val="24"/>
      <w:szCs w:val="24"/>
    </w:rPr>
  </w:style>
  <w:style w:type="paragraph" w:customStyle="1" w:styleId="42">
    <w:name w:val="国保1标"/>
    <w:basedOn w:val="1"/>
    <w:qFormat/>
    <w:uiPriority w:val="0"/>
    <w:pPr>
      <w:spacing w:before="120" w:beforeLines="50" w:after="120" w:afterLines="50"/>
      <w:jc w:val="center"/>
      <w:outlineLvl w:val="0"/>
    </w:pPr>
    <w:rPr>
      <w:rFonts w:ascii="黑体" w:hAnsi="Times New Roman" w:eastAsia="黑体"/>
      <w:snapToGrid w:val="0"/>
      <w:kern w:val="0"/>
      <w:sz w:val="36"/>
      <w:szCs w:val="32"/>
    </w:rPr>
  </w:style>
  <w:style w:type="character" w:customStyle="1" w:styleId="43">
    <w:name w:val="hover26"/>
    <w:basedOn w:val="22"/>
    <w:qFormat/>
    <w:uiPriority w:val="0"/>
  </w:style>
  <w:style w:type="character" w:customStyle="1" w:styleId="44">
    <w:name w:val="bsharetext"/>
    <w:basedOn w:val="22"/>
    <w:qFormat/>
    <w:uiPriority w:val="0"/>
  </w:style>
  <w:style w:type="character" w:customStyle="1" w:styleId="45">
    <w:name w:val="页眉 字符"/>
    <w:basedOn w:val="22"/>
    <w:link w:val="14"/>
    <w:qFormat/>
    <w:uiPriority w:val="0"/>
    <w:rPr>
      <w:rFonts w:hint="default" w:ascii="Calibri" w:hAnsi="Calibri" w:cs="Calibri"/>
    </w:rPr>
  </w:style>
  <w:style w:type="character" w:customStyle="1" w:styleId="46">
    <w:name w:val="页脚 字符"/>
    <w:basedOn w:val="22"/>
    <w:link w:val="13"/>
    <w:qFormat/>
    <w:uiPriority w:val="0"/>
    <w:rPr>
      <w:rFonts w:hint="default" w:ascii="Calibri" w:hAnsi="Calibri" w:cs="Calibri"/>
    </w:rPr>
  </w:style>
  <w:style w:type="character" w:customStyle="1" w:styleId="47">
    <w:name w:val="15"/>
    <w:basedOn w:val="22"/>
    <w:qFormat/>
    <w:uiPriority w:val="0"/>
    <w:rPr>
      <w:rFonts w:hint="default" w:ascii="Times New Roman" w:hAnsi="Times New Roman" w:cs="Times New Roman"/>
      <w:b/>
    </w:rPr>
  </w:style>
  <w:style w:type="paragraph" w:customStyle="1" w:styleId="48">
    <w:name w:val="表格"/>
    <w:basedOn w:val="1"/>
    <w:next w:val="1"/>
    <w:qFormat/>
    <w:uiPriority w:val="0"/>
    <w:pPr>
      <w:adjustRightInd w:val="0"/>
      <w:snapToGrid w:val="0"/>
      <w:spacing w:beforeLines="10" w:afterLines="10" w:line="259" w:lineRule="auto"/>
      <w:jc w:val="center"/>
    </w:pPr>
    <w:rPr>
      <w:rFonts w:ascii="宋体"/>
      <w:kern w:val="0"/>
      <w:szCs w:val="20"/>
    </w:rPr>
  </w:style>
  <w:style w:type="paragraph" w:customStyle="1" w:styleId="49">
    <w:name w:val="目录 11"/>
    <w:basedOn w:val="1"/>
    <w:next w:val="1"/>
    <w:qFormat/>
    <w:locked/>
    <w:uiPriority w:val="39"/>
    <w:pPr>
      <w:widowControl/>
      <w:spacing w:before="360"/>
      <w:jc w:val="left"/>
    </w:pPr>
    <w:rPr>
      <w:rFonts w:ascii="Cambria" w:hAnsi="Cambria"/>
      <w:b/>
      <w:bCs/>
      <w:caps/>
      <w:sz w:val="24"/>
      <w:szCs w:val="21"/>
    </w:rPr>
  </w:style>
  <w:style w:type="character" w:customStyle="1" w:styleId="50">
    <w:name w:val="批注文字 字符"/>
    <w:basedOn w:val="22"/>
    <w:link w:val="7"/>
    <w:semiHidden/>
    <w:qFormat/>
    <w:uiPriority w:val="0"/>
    <w:rPr>
      <w:sz w:val="24"/>
    </w:rPr>
  </w:style>
  <w:style w:type="character" w:customStyle="1" w:styleId="51">
    <w:name w:val="批注主题 字符"/>
    <w:basedOn w:val="50"/>
    <w:link w:val="18"/>
    <w:qFormat/>
    <w:uiPriority w:val="0"/>
    <w:rPr>
      <w:rFonts w:ascii="等线" w:hAnsi="等线" w:eastAsia="等线"/>
      <w:b/>
      <w:bCs/>
      <w:kern w:val="2"/>
      <w:sz w:val="21"/>
      <w:szCs w:val="22"/>
    </w:rPr>
  </w:style>
  <w:style w:type="character" w:customStyle="1" w:styleId="52">
    <w:name w:val="批注框文本 字符"/>
    <w:basedOn w:val="22"/>
    <w:link w:val="12"/>
    <w:qFormat/>
    <w:uiPriority w:val="0"/>
    <w:rPr>
      <w:rFonts w:ascii="等线" w:hAnsi="等线" w:eastAsia="等线"/>
      <w:kern w:val="2"/>
      <w:sz w:val="18"/>
      <w:szCs w:val="18"/>
    </w:rPr>
  </w:style>
  <w:style w:type="paragraph" w:customStyle="1" w:styleId="53">
    <w:name w:val="Normal_0"/>
    <w:qFormat/>
    <w:uiPriority w:val="0"/>
    <w:pPr>
      <w:widowControl w:val="0"/>
      <w:spacing w:line="360" w:lineRule="auto"/>
      <w:ind w:firstLine="200" w:firstLineChars="200"/>
      <w:jc w:val="both"/>
    </w:pPr>
    <w:rPr>
      <w:rFonts w:ascii="Times New Roman" w:hAnsi="Times New Roman" w:eastAsia="仿宋" w:cs="Times New Roman"/>
      <w:kern w:val="2"/>
      <w:sz w:val="28"/>
      <w:szCs w:val="21"/>
      <w:lang w:val="en-US" w:eastAsia="zh-CN" w:bidi="ar-SA"/>
    </w:rPr>
  </w:style>
  <w:style w:type="paragraph" w:customStyle="1" w:styleId="54">
    <w:name w:val="Table Paragraph"/>
    <w:basedOn w:val="1"/>
    <w:unhideWhenUsed/>
    <w:qFormat/>
    <w:uiPriority w:val="1"/>
    <w:pPr>
      <w:spacing w:beforeLines="0" w:afterLines="0"/>
    </w:pPr>
    <w:rPr>
      <w:rFonts w:hint="default"/>
      <w:sz w:val="24"/>
      <w:szCs w:val="24"/>
    </w:rPr>
  </w:style>
  <w:style w:type="paragraph" w:customStyle="1" w:styleId="55">
    <w:name w:val="1、图名"/>
    <w:basedOn w:val="6"/>
    <w:qFormat/>
    <w:uiPriority w:val="0"/>
    <w:pPr>
      <w:ind w:firstLine="0"/>
      <w:jc w:val="center"/>
    </w:pPr>
    <w:rPr>
      <w:rFonts w:ascii="Times"/>
      <w:b/>
      <w:sz w:val="21"/>
      <w:szCs w:val="21"/>
    </w:rPr>
  </w:style>
  <w:style w:type="paragraph" w:customStyle="1" w:styleId="56">
    <w:name w:val="正文001"/>
    <w:basedOn w:val="1"/>
    <w:qFormat/>
    <w:uiPriority w:val="0"/>
    <w:pPr>
      <w:spacing w:before="60" w:line="420" w:lineRule="atLeast"/>
      <w:ind w:firstLine="482"/>
    </w:pPr>
    <w:rPr>
      <w:sz w:val="24"/>
    </w:rPr>
  </w:style>
  <w:style w:type="character" w:customStyle="1" w:styleId="57">
    <w:name w:val="fontstyle01"/>
    <w:basedOn w:val="22"/>
    <w:qFormat/>
    <w:uiPriority w:val="0"/>
    <w:rPr>
      <w:rFonts w:hint="eastAsia" w:ascii="宋体" w:hAnsi="宋体" w:eastAsia="宋体" w:cs="宋体"/>
      <w:color w:val="000000"/>
      <w:sz w:val="24"/>
      <w:szCs w:val="24"/>
    </w:rPr>
  </w:style>
  <w:style w:type="paragraph" w:customStyle="1" w:styleId="58">
    <w:name w:val="报告表正文"/>
    <w:basedOn w:val="1"/>
    <w:qFormat/>
    <w:uiPriority w:val="0"/>
    <w:pPr>
      <w:adjustRightInd w:val="0"/>
      <w:spacing w:line="312" w:lineRule="auto"/>
      <w:ind w:left="113" w:right="113" w:firstLine="482"/>
      <w:jc w:val="left"/>
      <w:textAlignment w:val="baseline"/>
    </w:pPr>
    <w:rPr>
      <w:kern w:val="0"/>
      <w:sz w:val="24"/>
      <w:szCs w:val="20"/>
    </w:rPr>
  </w:style>
  <w:style w:type="paragraph" w:customStyle="1" w:styleId="59">
    <w:name w:val="正文00"/>
    <w:qFormat/>
    <w:uiPriority w:val="0"/>
    <w:pPr>
      <w:overflowPunct w:val="0"/>
      <w:topLinePunct/>
      <w:adjustRightInd w:val="0"/>
      <w:snapToGrid w:val="0"/>
      <w:spacing w:line="360" w:lineRule="auto"/>
      <w:ind w:firstLine="200" w:firstLineChars="200"/>
      <w:jc w:val="both"/>
    </w:pPr>
    <w:rPr>
      <w:rFonts w:ascii="Times New Roman" w:hAnsi="Times New Roman" w:eastAsia="宋体" w:cs="Times New Roman"/>
      <w:color w:val="000000"/>
      <w:kern w:val="2"/>
      <w:sz w:val="24"/>
      <w:szCs w:val="24"/>
      <w:lang w:val="en-US" w:eastAsia="zh-CN" w:bidi="ar-SA"/>
    </w:rPr>
  </w:style>
  <w:style w:type="paragraph" w:customStyle="1" w:styleId="60">
    <w:name w:val="1表格标题"/>
    <w:qFormat/>
    <w:uiPriority w:val="0"/>
    <w:pPr>
      <w:adjustRightInd w:val="0"/>
      <w:snapToGrid w:val="0"/>
      <w:spacing w:before="50" w:beforeLines="50"/>
      <w:jc w:val="center"/>
    </w:pPr>
    <w:rPr>
      <w:rFonts w:ascii="Times New Roman" w:hAnsi="Times New Roman" w:eastAsia="仿宋" w:cs="Times New Roman"/>
      <w:b/>
      <w:bCs/>
      <w:snapToGrid w:val="0"/>
      <w:sz w:val="21"/>
      <w:szCs w:val="21"/>
      <w:lang w:val="en-US" w:eastAsia="zh-CN" w:bidi="ar-SA"/>
    </w:rPr>
  </w:style>
  <w:style w:type="paragraph" w:customStyle="1" w:styleId="61">
    <w:name w:val="正文01"/>
    <w:basedOn w:val="1"/>
    <w:qFormat/>
    <w:uiPriority w:val="0"/>
    <w:pPr>
      <w:spacing w:before="60" w:line="460" w:lineRule="exact"/>
      <w:ind w:firstLine="200" w:firstLineChars="200"/>
    </w:pPr>
    <w:rPr>
      <w:kern w:val="0"/>
      <w:sz w:val="24"/>
      <w:szCs w:val="20"/>
    </w:rPr>
  </w:style>
  <w:style w:type="paragraph" w:customStyle="1" w:styleId="62">
    <w:name w:val="样式5"/>
    <w:basedOn w:val="1"/>
    <w:qFormat/>
    <w:uiPriority w:val="0"/>
    <w:pPr>
      <w:adjustRightInd w:val="0"/>
      <w:snapToGrid w:val="0"/>
      <w:spacing w:line="480" w:lineRule="exact"/>
      <w:ind w:firstLine="200" w:firstLineChars="200"/>
    </w:pPr>
    <w:rPr>
      <w:sz w:val="26"/>
      <w:szCs w:val="26"/>
    </w:rPr>
  </w:style>
  <w:style w:type="paragraph" w:customStyle="1" w:styleId="63">
    <w:name w:val="正文-蓝色"/>
    <w:basedOn w:val="1"/>
    <w:qFormat/>
    <w:uiPriority w:val="0"/>
    <w:pPr>
      <w:spacing w:line="360" w:lineRule="auto"/>
      <w:ind w:firstLine="200" w:firstLineChars="200"/>
    </w:pPr>
    <w:rPr>
      <w:rFonts w:ascii="Calibri" w:hAnsi="Calibri"/>
      <w:color w:val="FF0000"/>
      <w:kern w:val="0"/>
      <w:sz w:val="24"/>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2.xml"/><Relationship Id="rId39" Type="http://schemas.openxmlformats.org/officeDocument/2006/relationships/image" Target="media/image22.wmf"/><Relationship Id="rId38" Type="http://schemas.openxmlformats.org/officeDocument/2006/relationships/oleObject" Target="embeddings/oleObject11.bin"/><Relationship Id="rId37" Type="http://schemas.openxmlformats.org/officeDocument/2006/relationships/image" Target="media/image21.wmf"/><Relationship Id="rId36" Type="http://schemas.openxmlformats.org/officeDocument/2006/relationships/oleObject" Target="embeddings/oleObject10.bin"/><Relationship Id="rId35" Type="http://schemas.openxmlformats.org/officeDocument/2006/relationships/image" Target="media/image20.emf"/><Relationship Id="rId34" Type="http://schemas.openxmlformats.org/officeDocument/2006/relationships/oleObject" Target="embeddings/oleObject9.bin"/><Relationship Id="rId33" Type="http://schemas.openxmlformats.org/officeDocument/2006/relationships/image" Target="media/image19.wmf"/><Relationship Id="rId32" Type="http://schemas.openxmlformats.org/officeDocument/2006/relationships/oleObject" Target="embeddings/oleObject8.bin"/><Relationship Id="rId31" Type="http://schemas.openxmlformats.org/officeDocument/2006/relationships/image" Target="media/image18.png"/><Relationship Id="rId30" Type="http://schemas.openxmlformats.org/officeDocument/2006/relationships/image" Target="media/image17.wmf"/><Relationship Id="rId3" Type="http://schemas.openxmlformats.org/officeDocument/2006/relationships/footer" Target="footer1.xml"/><Relationship Id="rId29" Type="http://schemas.openxmlformats.org/officeDocument/2006/relationships/oleObject" Target="embeddings/oleObject7.bin"/><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jpeg"/><Relationship Id="rId25" Type="http://schemas.openxmlformats.org/officeDocument/2006/relationships/image" Target="media/image13.emf"/><Relationship Id="rId24" Type="http://schemas.openxmlformats.org/officeDocument/2006/relationships/oleObject" Target="embeddings/oleObject6.bin"/><Relationship Id="rId23" Type="http://schemas.openxmlformats.org/officeDocument/2006/relationships/image" Target="media/image12.png"/><Relationship Id="rId22" Type="http://schemas.openxmlformats.org/officeDocument/2006/relationships/image" Target="media/image11.emf"/><Relationship Id="rId21" Type="http://schemas.openxmlformats.org/officeDocument/2006/relationships/oleObject" Target="embeddings/oleObject5.bin"/><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oleObject" Target="embeddings/oleObject4.bin"/><Relationship Id="rId17" Type="http://schemas.openxmlformats.org/officeDocument/2006/relationships/image" Target="media/image8.png"/><Relationship Id="rId16" Type="http://schemas.openxmlformats.org/officeDocument/2006/relationships/image" Target="media/image7.emf"/><Relationship Id="rId15" Type="http://schemas.openxmlformats.org/officeDocument/2006/relationships/oleObject" Target="embeddings/oleObject3.bin"/><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112</Pages>
  <Words>3540</Words>
  <Characters>3735</Characters>
  <Lines>380</Lines>
  <Paragraphs>107</Paragraphs>
  <TotalTime>16</TotalTime>
  <ScaleCrop>false</ScaleCrop>
  <LinksUpToDate>false</LinksUpToDate>
  <CharactersWithSpaces>3785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2022-03-13T08:38:00Z</dcterms:created>
  <dc:creator>Administrator</dc:creator>
  <cp:lastModifiedBy>哈哈*^o^*</cp:lastModifiedBy>
  <dcterms:modified xsi:type="dcterms:W3CDTF">2025-09-01T01:30:07Z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10BB45B870864412A2C15F0E7DA28CCD</vt:lpwstr>
  </property>
  <property fmtid="{D5CDD505-2E9C-101B-9397-08002B2CF9AE}" pid="4" name="KSOTemplateDocerSaveRecord">
    <vt:lpwstr>eyJoZGlkIjoiMDdiZjhmMDZlNWE1ZTIzNmY0N2FiYWQzNGRiMjI4ODMiLCJ1c2VySWQiOiI0MjA0MDUyMDgifQ==</vt:lpwstr>
  </property>
</Properties>
</file>